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BE76B3" w14:textId="77777777" w:rsidR="002C1952" w:rsidRDefault="002C1952">
      <w:pPr>
        <w:pBdr>
          <w:bottom w:val="single" w:sz="4" w:space="1" w:color="000000"/>
        </w:pBdr>
        <w:jc w:val="center"/>
        <w:rPr>
          <w:b/>
          <w:sz w:val="28"/>
          <w:szCs w:val="28"/>
        </w:rPr>
      </w:pPr>
    </w:p>
    <w:p w14:paraId="0EDCBAC0" w14:textId="77777777" w:rsidR="002C1952" w:rsidRDefault="001F5A78">
      <w:pPr>
        <w:pBdr>
          <w:bottom w:val="single" w:sz="4" w:space="1" w:color="000000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Appel à Manifestation d’Intérêt GREC Hauts-de-France</w:t>
      </w:r>
    </w:p>
    <w:p w14:paraId="44F505D5" w14:textId="77777777" w:rsidR="002C1952" w:rsidRDefault="002C1952">
      <w:pPr>
        <w:jc w:val="both"/>
        <w:rPr>
          <w:b/>
          <w:sz w:val="24"/>
          <w:szCs w:val="24"/>
        </w:rPr>
      </w:pPr>
    </w:p>
    <w:p w14:paraId="06ED8B0F" w14:textId="77777777" w:rsidR="002C1952" w:rsidRDefault="001F5A78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Contexte de la création du GREC Hauts-de-France</w:t>
      </w:r>
    </w:p>
    <w:p w14:paraId="61FC6749" w14:textId="77777777" w:rsidR="002C1952" w:rsidRDefault="001F5A7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Depuis 2010, de nombreuses initiatives régionales ont été lancées pour rassembler des scientifiques issus des universités des Hauts-de-France de nombreuses disciplines, des collectivités, des acteurs associatifs et socio-économiques, autour de questions liées aux effets du changement climatique à l’échelle régionale (impact sur la qualité de l’air, de l’eau, la santé, la biodiversité, …). </w:t>
      </w:r>
    </w:p>
    <w:p w14:paraId="2B133523" w14:textId="77777777" w:rsidR="002C1952" w:rsidRDefault="001F5A7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Ces dynamiques </w:t>
      </w:r>
      <w:proofErr w:type="spellStart"/>
      <w:r>
        <w:rPr>
          <w:sz w:val="24"/>
          <w:szCs w:val="24"/>
        </w:rPr>
        <w:t>auto-organisées</w:t>
      </w:r>
      <w:proofErr w:type="spellEnd"/>
      <w:r>
        <w:rPr>
          <w:sz w:val="24"/>
          <w:szCs w:val="24"/>
        </w:rPr>
        <w:t xml:space="preserve"> à l’échelle régionale se sont structurées en réseau et ont adopté une dénomination commune de Groupements Régionaux d’Experts sur le Climat (GREC). Ils ont pour mission d’accompagner les acteurs territoriaux dans :</w:t>
      </w:r>
    </w:p>
    <w:p w14:paraId="1AEA3C7C" w14:textId="77777777" w:rsidR="002C1952" w:rsidRDefault="001F5A7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leur</w:t>
      </w:r>
      <w:proofErr w:type="gramEnd"/>
      <w:r>
        <w:rPr>
          <w:color w:val="000000"/>
          <w:sz w:val="24"/>
          <w:szCs w:val="24"/>
        </w:rPr>
        <w:t xml:space="preserve"> compréhension des évolutions liées au</w:t>
      </w:r>
      <w:r>
        <w:rPr>
          <w:sz w:val="24"/>
          <w:szCs w:val="24"/>
        </w:rPr>
        <w:t xml:space="preserve"> changement climatique </w:t>
      </w:r>
      <w:r>
        <w:rPr>
          <w:color w:val="000000"/>
          <w:sz w:val="24"/>
          <w:szCs w:val="24"/>
        </w:rPr>
        <w:t xml:space="preserve">sur leur territoire, </w:t>
      </w:r>
    </w:p>
    <w:p w14:paraId="271F2070" w14:textId="77777777" w:rsidR="002C1952" w:rsidRDefault="001F5A7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la</w:t>
      </w:r>
      <w:proofErr w:type="gramEnd"/>
      <w:r>
        <w:rPr>
          <w:color w:val="000000"/>
          <w:sz w:val="24"/>
          <w:szCs w:val="24"/>
        </w:rPr>
        <w:t xml:space="preserve"> mise en œuvre de stratégies d’adaptation et d’atténuation </w:t>
      </w:r>
      <w:r>
        <w:rPr>
          <w:sz w:val="24"/>
          <w:szCs w:val="24"/>
        </w:rPr>
        <w:t xml:space="preserve">à ces évolutions </w:t>
      </w:r>
      <w:r>
        <w:rPr>
          <w:color w:val="000000"/>
          <w:sz w:val="24"/>
          <w:szCs w:val="24"/>
        </w:rPr>
        <w:t xml:space="preserve">et </w:t>
      </w:r>
    </w:p>
    <w:p w14:paraId="702C35C9" w14:textId="77777777" w:rsidR="002C1952" w:rsidRDefault="001F5A7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d’accompagner</w:t>
      </w:r>
      <w:proofErr w:type="gramEnd"/>
      <w:r>
        <w:rPr>
          <w:color w:val="000000"/>
          <w:sz w:val="24"/>
          <w:szCs w:val="24"/>
        </w:rPr>
        <w:t xml:space="preserve"> à la transition écologique les territoires en prenant en compte leurs problématiques et besoins spécifiques. </w:t>
      </w:r>
    </w:p>
    <w:p w14:paraId="6B185CB3" w14:textId="77777777" w:rsidR="002C1952" w:rsidRDefault="001F5A78">
      <w:pPr>
        <w:jc w:val="both"/>
        <w:rPr>
          <w:sz w:val="24"/>
          <w:szCs w:val="24"/>
        </w:rPr>
      </w:pPr>
      <w:r>
        <w:rPr>
          <w:sz w:val="24"/>
          <w:szCs w:val="24"/>
        </w:rPr>
        <w:t>C’est dans cette dynamique que s'est inscrit le Groupement Régional d’Experts sur le Climat Hauts-de-France :  un collectif multi-acteurs – à visée scientifique - désirant s’investir en faveur de l’information scientifique sur la nécessité et les modalités possibles d’une transition écologique.</w:t>
      </w:r>
    </w:p>
    <w:p w14:paraId="20A92276" w14:textId="77777777" w:rsidR="002C1952" w:rsidRDefault="001F5A78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Objectif du GREC </w:t>
      </w:r>
    </w:p>
    <w:p w14:paraId="139BBDD8" w14:textId="77777777" w:rsidR="002C1952" w:rsidRDefault="001F5A7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L’objectif du GREC Hauts-de-France est d’asseoir une expertise scientifique, pour favoriser l’apport de connaissances et de solutions sur les enjeux liés aux changements climatiques en Hauts-de-France et pour accompagner la mise en place et l’évaluation des politiques publiques.  </w:t>
      </w:r>
    </w:p>
    <w:p w14:paraId="58CECB0E" w14:textId="77777777" w:rsidR="002C1952" w:rsidRPr="00494D95" w:rsidRDefault="001F5A78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b/>
          <w:color w:val="000000"/>
          <w:sz w:val="24"/>
          <w:szCs w:val="24"/>
          <w:u w:val="single"/>
        </w:rPr>
      </w:pPr>
      <w:r w:rsidRPr="00494D95">
        <w:rPr>
          <w:b/>
          <w:color w:val="000000"/>
          <w:sz w:val="24"/>
          <w:szCs w:val="24"/>
          <w:u w:val="single"/>
        </w:rPr>
        <w:t xml:space="preserve">Contexte de l’appel à </w:t>
      </w:r>
      <w:r w:rsidRPr="00494D95">
        <w:rPr>
          <w:b/>
          <w:sz w:val="24"/>
          <w:szCs w:val="24"/>
          <w:u w:val="single"/>
        </w:rPr>
        <w:t>manifestation d’intérêt (AMI)</w:t>
      </w:r>
    </w:p>
    <w:p w14:paraId="1050ABC9" w14:textId="358F7844" w:rsidR="002C1952" w:rsidRDefault="001F5A78" w:rsidP="00262E1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C’est dans cette perspective que s’inscrit cet appel à manifestation d’intérêt, en visant à mettre en place des partenariats entre les acteurs de la recherche en Hauts-de-France et les acteurs territoriaux afin d’intensifier le développement des interactions sciences / société, en lien avec les impacts du changement climatique en région. Cet appel permettra le financement de projets collaboratifs entre des laboratoires de champs disciplinaires variés et complémentaires et des acteurs socio-économiques de la région Hauts-de-France. </w:t>
      </w:r>
    </w:p>
    <w:p w14:paraId="01DAED61" w14:textId="77777777" w:rsidR="002C1952" w:rsidRDefault="002C1952" w:rsidP="00262E11">
      <w:pPr>
        <w:jc w:val="both"/>
        <w:rPr>
          <w:sz w:val="24"/>
          <w:szCs w:val="24"/>
        </w:rPr>
      </w:pPr>
    </w:p>
    <w:p w14:paraId="46D14DEC" w14:textId="77777777" w:rsidR="002C1952" w:rsidRDefault="002C1952">
      <w:pPr>
        <w:rPr>
          <w:sz w:val="24"/>
          <w:szCs w:val="24"/>
        </w:rPr>
      </w:pPr>
    </w:p>
    <w:p w14:paraId="66A72C9A" w14:textId="77777777" w:rsidR="002C1952" w:rsidRPr="00494D95" w:rsidRDefault="001F5A78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ind w:left="284"/>
        <w:rPr>
          <w:b/>
          <w:color w:val="000000"/>
          <w:sz w:val="24"/>
          <w:szCs w:val="24"/>
          <w:u w:val="single"/>
        </w:rPr>
      </w:pPr>
      <w:r w:rsidRPr="00494D95">
        <w:rPr>
          <w:b/>
          <w:color w:val="000000"/>
          <w:sz w:val="24"/>
          <w:szCs w:val="24"/>
          <w:u w:val="single"/>
        </w:rPr>
        <w:lastRenderedPageBreak/>
        <w:t xml:space="preserve">Financement des projets lauréats </w:t>
      </w:r>
    </w:p>
    <w:p w14:paraId="366706EF" w14:textId="5F61BE5B" w:rsidR="002C1952" w:rsidRDefault="001F5A78">
      <w:pPr>
        <w:jc w:val="both"/>
        <w:rPr>
          <w:sz w:val="24"/>
          <w:szCs w:val="24"/>
        </w:rPr>
      </w:pPr>
      <w:r>
        <w:rPr>
          <w:sz w:val="24"/>
          <w:szCs w:val="24"/>
        </w:rPr>
        <w:t>10 à 20 projets lauréats seront financés par des fonds provenant des</w:t>
      </w:r>
      <w:r w:rsidR="00262E11">
        <w:rPr>
          <w:sz w:val="24"/>
          <w:szCs w:val="24"/>
        </w:rPr>
        <w:t xml:space="preserve"> </w:t>
      </w:r>
      <w:r>
        <w:rPr>
          <w:sz w:val="24"/>
          <w:szCs w:val="24"/>
        </w:rPr>
        <w:t>universités</w:t>
      </w:r>
      <w:r w:rsidR="00A358D7">
        <w:rPr>
          <w:sz w:val="24"/>
          <w:szCs w:val="24"/>
        </w:rPr>
        <w:t xml:space="preserve"> régionales</w:t>
      </w:r>
      <w:r>
        <w:rPr>
          <w:sz w:val="24"/>
          <w:szCs w:val="24"/>
        </w:rPr>
        <w:t>. Cette somme pourra être utilisée pour des dépenses de fonctionnement (consommables, missions) et pour le financement de stages étudiants (master, école d’ingénieur). Seuls les établissements issus des universités</w:t>
      </w:r>
      <w:r w:rsidR="00171186">
        <w:rPr>
          <w:sz w:val="24"/>
          <w:szCs w:val="24"/>
        </w:rPr>
        <w:t xml:space="preserve"> contributrices financièrement à l’AMI</w:t>
      </w:r>
      <w:r>
        <w:rPr>
          <w:sz w:val="24"/>
          <w:szCs w:val="24"/>
        </w:rPr>
        <w:t xml:space="preserve"> seront bénéficiaires de la subvention.</w:t>
      </w:r>
    </w:p>
    <w:p w14:paraId="2981C363" w14:textId="77777777" w:rsidR="002C1952" w:rsidRPr="00494D95" w:rsidRDefault="001F5A78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b/>
          <w:color w:val="000000"/>
          <w:sz w:val="24"/>
          <w:szCs w:val="24"/>
          <w:u w:val="single"/>
        </w:rPr>
      </w:pPr>
      <w:r w:rsidRPr="00494D95">
        <w:rPr>
          <w:b/>
          <w:color w:val="000000"/>
          <w:sz w:val="24"/>
          <w:szCs w:val="24"/>
          <w:u w:val="single"/>
        </w:rPr>
        <w:t xml:space="preserve">Eligibilité des projets </w:t>
      </w:r>
    </w:p>
    <w:p w14:paraId="72316828" w14:textId="77777777" w:rsidR="002C1952" w:rsidRPr="00494D95" w:rsidRDefault="001F5A78">
      <w:pPr>
        <w:ind w:firstLine="426"/>
        <w:jc w:val="both"/>
        <w:rPr>
          <w:b/>
          <w:sz w:val="24"/>
          <w:szCs w:val="24"/>
        </w:rPr>
      </w:pPr>
      <w:r w:rsidRPr="00494D95">
        <w:rPr>
          <w:b/>
          <w:sz w:val="24"/>
          <w:szCs w:val="24"/>
        </w:rPr>
        <w:t xml:space="preserve">3.1 Projets ou sujets provenant des acteurs territoriaux </w:t>
      </w:r>
    </w:p>
    <w:p w14:paraId="6C75B366" w14:textId="4676DF55" w:rsidR="002C1952" w:rsidRDefault="001F5A7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Cet appel à manifestation d’intérêt s’adresse aux acteurs-socio-économiques du territoire présentant le besoin d’une expertise scientifique au regard des vulnérabilités de leurs territoires : collectivités (communes, communautés urbaines, département, </w:t>
      </w:r>
      <w:proofErr w:type="spellStart"/>
      <w:r>
        <w:rPr>
          <w:sz w:val="24"/>
          <w:szCs w:val="24"/>
        </w:rPr>
        <w:t>etc</w:t>
      </w:r>
      <w:proofErr w:type="spellEnd"/>
      <w:r>
        <w:rPr>
          <w:vertAlign w:val="superscript"/>
        </w:rPr>
        <w:footnoteReference w:id="1"/>
      </w:r>
      <w:r>
        <w:rPr>
          <w:vertAlign w:val="superscript"/>
        </w:rPr>
        <w:t>,</w:t>
      </w:r>
      <w:r>
        <w:rPr>
          <w:vertAlign w:val="superscript"/>
        </w:rPr>
        <w:footnoteReference w:id="2"/>
      </w:r>
      <w:r>
        <w:rPr>
          <w:sz w:val="24"/>
          <w:szCs w:val="24"/>
        </w:rPr>
        <w:t>), associations, groupements d’intérêt public et autres acteurs locaux ayant un statut juridique.  Ces acteurs sont invités à répondre à cet appel, en définissant leur besoin de la façon la plus précise possible.</w:t>
      </w:r>
    </w:p>
    <w:p w14:paraId="7A704D68" w14:textId="77777777" w:rsidR="002C1952" w:rsidRPr="00494D95" w:rsidRDefault="001F5A78">
      <w:pPr>
        <w:ind w:left="425"/>
        <w:jc w:val="both"/>
        <w:rPr>
          <w:b/>
          <w:sz w:val="24"/>
          <w:szCs w:val="24"/>
        </w:rPr>
      </w:pPr>
      <w:r w:rsidRPr="00494D95">
        <w:rPr>
          <w:b/>
          <w:sz w:val="24"/>
          <w:szCs w:val="24"/>
        </w:rPr>
        <w:t>3.2 Mise en œuvre du partenariat</w:t>
      </w:r>
    </w:p>
    <w:p w14:paraId="41568AA3" w14:textId="77777777" w:rsidR="002C1952" w:rsidRDefault="001F5A7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Une fois les projets reçus, le GREC Hauts-de-France se charge d’identifier un ou plusieurs acteurs de la recherche issus de son consortium pour répondre au besoin </w:t>
      </w:r>
      <w:proofErr w:type="gramStart"/>
      <w:r>
        <w:rPr>
          <w:sz w:val="24"/>
          <w:szCs w:val="24"/>
        </w:rPr>
        <w:t>formulé</w:t>
      </w:r>
      <w:proofErr w:type="gramEnd"/>
      <w:r>
        <w:rPr>
          <w:sz w:val="24"/>
          <w:szCs w:val="24"/>
        </w:rPr>
        <w:t xml:space="preserve"> en mobilisant l’expertise et les outils disponibles dans les laboratoires. </w:t>
      </w:r>
    </w:p>
    <w:p w14:paraId="301172CC" w14:textId="77777777" w:rsidR="002C1952" w:rsidRDefault="001F5A7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Cet appel vise ainsi à amorcer une collaboration avec la recherche, en fonction des besoins formulés par les acteurs du territoire. </w:t>
      </w:r>
    </w:p>
    <w:p w14:paraId="286DBEF2" w14:textId="77777777" w:rsidR="002C1952" w:rsidRDefault="001F5A7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Si la description du besoin n’est pas suffisamment aboutie pour en faire une question de recherche, un accompagnement par </w:t>
      </w:r>
      <w:hyperlink r:id="rId8">
        <w:r>
          <w:rPr>
            <w:color w:val="1155CC"/>
            <w:sz w:val="24"/>
            <w:szCs w:val="24"/>
            <w:u w:val="single"/>
          </w:rPr>
          <w:t>la Boutique des Sciences</w:t>
        </w:r>
      </w:hyperlink>
      <w:r>
        <w:rPr>
          <w:sz w:val="24"/>
          <w:szCs w:val="24"/>
        </w:rPr>
        <w:t xml:space="preserve"> pourra être envisagé.</w:t>
      </w:r>
    </w:p>
    <w:p w14:paraId="4BE1F33C" w14:textId="57D41171" w:rsidR="002C1952" w:rsidRDefault="001F5A78">
      <w:pPr>
        <w:jc w:val="both"/>
        <w:rPr>
          <w:sz w:val="24"/>
          <w:szCs w:val="24"/>
        </w:rPr>
      </w:pPr>
      <w:r>
        <w:rPr>
          <w:sz w:val="24"/>
          <w:szCs w:val="24"/>
        </w:rPr>
        <w:t>Il est à noter qu'à l'issue de la mise en œuvre de la collaboration via cet appel à manifestation, d’autres possibilités de financement pourront être envisagées permettant ainsi de poursuivre, voire d’approfondir - si nécessaire - le travail de recherche.</w:t>
      </w:r>
    </w:p>
    <w:p w14:paraId="363D1319" w14:textId="77777777" w:rsidR="002C1952" w:rsidRDefault="001F5A78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b/>
          <w:color w:val="000000"/>
          <w:sz w:val="24"/>
          <w:szCs w:val="24"/>
          <w:u w:val="single"/>
        </w:rPr>
      </w:pPr>
      <w:r>
        <w:rPr>
          <w:b/>
          <w:color w:val="000000"/>
          <w:sz w:val="24"/>
          <w:szCs w:val="24"/>
          <w:u w:val="single"/>
        </w:rPr>
        <w:t xml:space="preserve">Modalités de dépôt des candidatures </w:t>
      </w:r>
    </w:p>
    <w:p w14:paraId="601278CD" w14:textId="2226A665" w:rsidR="002C1952" w:rsidRDefault="001F5A7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Le dossier de candidature ; disponible en annexe, est à retourner complété par le ou la porteur(se) du projet avant le </w:t>
      </w:r>
      <w:r w:rsidR="00BA1EE6" w:rsidRPr="00BA1EE6">
        <w:rPr>
          <w:iCs/>
          <w:sz w:val="24"/>
          <w:szCs w:val="24"/>
        </w:rPr>
        <w:t>25</w:t>
      </w:r>
      <w:r w:rsidR="00D1712E" w:rsidRPr="00BA1EE6">
        <w:rPr>
          <w:iCs/>
          <w:sz w:val="24"/>
          <w:szCs w:val="24"/>
        </w:rPr>
        <w:t xml:space="preserve"> mars</w:t>
      </w:r>
      <w:r>
        <w:rPr>
          <w:sz w:val="24"/>
          <w:szCs w:val="24"/>
        </w:rPr>
        <w:t xml:space="preserve"> 2025 à l’adresse suivante : </w:t>
      </w:r>
      <w:hyperlink r:id="rId9">
        <w:r>
          <w:rPr>
            <w:color w:val="0000FF"/>
            <w:sz w:val="24"/>
            <w:szCs w:val="24"/>
            <w:u w:val="single"/>
          </w:rPr>
          <w:t>nathalie.wierre@univ-</w:t>
        </w:r>
      </w:hyperlink>
      <w:hyperlink r:id="rId10">
        <w:r>
          <w:rPr>
            <w:color w:val="0000FF"/>
            <w:sz w:val="24"/>
            <w:szCs w:val="24"/>
            <w:u w:val="single"/>
          </w:rPr>
          <w:t>lille</w:t>
        </w:r>
      </w:hyperlink>
      <w:hyperlink r:id="rId11">
        <w:r>
          <w:rPr>
            <w:color w:val="0000FF"/>
            <w:sz w:val="24"/>
            <w:szCs w:val="24"/>
            <w:u w:val="single"/>
          </w:rPr>
          <w:t>.fr</w:t>
        </w:r>
      </w:hyperlink>
    </w:p>
    <w:p w14:paraId="3FB13EB1" w14:textId="7DAE114F" w:rsidR="002C1952" w:rsidRDefault="001F5A78">
      <w:pPr>
        <w:jc w:val="both"/>
        <w:rPr>
          <w:sz w:val="24"/>
          <w:szCs w:val="24"/>
        </w:rPr>
      </w:pPr>
      <w:r>
        <w:rPr>
          <w:sz w:val="24"/>
          <w:szCs w:val="24"/>
        </w:rPr>
        <w:t>Dans le cas où plusieurs dossiers sont déposés par un même organisme, il est demandé de communiquer un classement des projets, par ordre de priorité.</w:t>
      </w:r>
    </w:p>
    <w:p w14:paraId="19DB0E2B" w14:textId="77777777" w:rsidR="00494D95" w:rsidRDefault="00494D95">
      <w:pPr>
        <w:jc w:val="both"/>
        <w:rPr>
          <w:sz w:val="24"/>
          <w:szCs w:val="24"/>
        </w:rPr>
      </w:pPr>
    </w:p>
    <w:p w14:paraId="0DBEED90" w14:textId="77777777" w:rsidR="002C1952" w:rsidRDefault="001F5A78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b/>
          <w:color w:val="000000"/>
          <w:sz w:val="24"/>
          <w:szCs w:val="24"/>
          <w:u w:val="single"/>
        </w:rPr>
      </w:pPr>
      <w:r>
        <w:rPr>
          <w:b/>
          <w:color w:val="000000"/>
          <w:sz w:val="24"/>
          <w:szCs w:val="24"/>
          <w:u w:val="single"/>
        </w:rPr>
        <w:lastRenderedPageBreak/>
        <w:t xml:space="preserve">Evaluation des projets </w:t>
      </w:r>
    </w:p>
    <w:p w14:paraId="70AC57F2" w14:textId="77777777" w:rsidR="002C1952" w:rsidRDefault="001F5A7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Chaque projet sera évalué par 3 experts : </w:t>
      </w:r>
    </w:p>
    <w:p w14:paraId="1EB6C651" w14:textId="02A1D5D5" w:rsidR="002C1952" w:rsidRDefault="001F5A7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 expert issu </w:t>
      </w:r>
      <w:r>
        <w:rPr>
          <w:sz w:val="24"/>
          <w:szCs w:val="24"/>
        </w:rPr>
        <w:t>d’une</w:t>
      </w:r>
      <w:r>
        <w:rPr>
          <w:color w:val="000000"/>
          <w:sz w:val="24"/>
          <w:szCs w:val="24"/>
        </w:rPr>
        <w:t xml:space="preserve"> des universités</w:t>
      </w:r>
      <w:r w:rsidR="00171186">
        <w:rPr>
          <w:color w:val="000000"/>
          <w:sz w:val="24"/>
          <w:szCs w:val="24"/>
        </w:rPr>
        <w:t xml:space="preserve"> contributrices financièrement à l’AMI</w:t>
      </w:r>
      <w:r>
        <w:rPr>
          <w:color w:val="000000"/>
          <w:sz w:val="24"/>
          <w:szCs w:val="24"/>
        </w:rPr>
        <w:t xml:space="preserve"> </w:t>
      </w:r>
    </w:p>
    <w:p w14:paraId="64E2DE60" w14:textId="77777777" w:rsidR="002C1952" w:rsidRDefault="001F5A7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 expert du territoire Hauts-de-France</w:t>
      </w:r>
    </w:p>
    <w:p w14:paraId="6E79F79E" w14:textId="77777777" w:rsidR="002C1952" w:rsidRDefault="001F5A7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 expert interne au comité de structuration du GREC Hauts-de-France </w:t>
      </w:r>
    </w:p>
    <w:p w14:paraId="581D5412" w14:textId="77777777" w:rsidR="002C1952" w:rsidRDefault="001F5A78">
      <w:pPr>
        <w:jc w:val="both"/>
        <w:rPr>
          <w:sz w:val="24"/>
          <w:szCs w:val="24"/>
        </w:rPr>
      </w:pPr>
      <w:r>
        <w:rPr>
          <w:sz w:val="24"/>
          <w:szCs w:val="24"/>
        </w:rPr>
        <w:t>Chacun d’eux rédigera un rapport d’expertise dans lequel seront évalués :</w:t>
      </w:r>
    </w:p>
    <w:p w14:paraId="782F1120" w14:textId="77777777" w:rsidR="002C1952" w:rsidRDefault="001F5A7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la</w:t>
      </w:r>
      <w:proofErr w:type="gramEnd"/>
      <w:r>
        <w:rPr>
          <w:color w:val="000000"/>
          <w:sz w:val="24"/>
          <w:szCs w:val="24"/>
        </w:rPr>
        <w:t xml:space="preserve"> pertinence du besoin formulé au regard des vulnérabilités du territoire </w:t>
      </w:r>
    </w:p>
    <w:p w14:paraId="40B0E99E" w14:textId="77777777" w:rsidR="002C1952" w:rsidRDefault="001F5A7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le</w:t>
      </w:r>
      <w:proofErr w:type="gramEnd"/>
      <w:r>
        <w:rPr>
          <w:sz w:val="24"/>
          <w:szCs w:val="24"/>
        </w:rPr>
        <w:t xml:space="preserve"> degré de maturité de la demande en terme de questionnement scientifique</w:t>
      </w:r>
    </w:p>
    <w:p w14:paraId="5DFF28F0" w14:textId="77777777" w:rsidR="002C1952" w:rsidRDefault="001F5A7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l’impact</w:t>
      </w:r>
      <w:proofErr w:type="gramEnd"/>
      <w:r>
        <w:rPr>
          <w:color w:val="000000"/>
          <w:sz w:val="24"/>
          <w:szCs w:val="24"/>
        </w:rPr>
        <w:t xml:space="preserve"> du projet sur le territoire : environnemental, socio-économique…</w:t>
      </w:r>
    </w:p>
    <w:p w14:paraId="20D27786" w14:textId="77777777" w:rsidR="002C1952" w:rsidRDefault="001F5A7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la</w:t>
      </w:r>
      <w:proofErr w:type="gramEnd"/>
      <w:r>
        <w:rPr>
          <w:color w:val="000000"/>
          <w:sz w:val="24"/>
          <w:szCs w:val="24"/>
        </w:rPr>
        <w:t xml:space="preserve"> réplicabilité à savoir la possibilité d’utiliser sur d’autres territoires ou à plus grande échelle, les outils, les pratiques, les méthodes développés pendant le projet.</w:t>
      </w:r>
    </w:p>
    <w:p w14:paraId="45401E94" w14:textId="161C8FF6" w:rsidR="002C1952" w:rsidRDefault="001F5A78">
      <w:pPr>
        <w:jc w:val="both"/>
        <w:rPr>
          <w:sz w:val="24"/>
          <w:szCs w:val="24"/>
        </w:rPr>
      </w:pPr>
      <w:r>
        <w:rPr>
          <w:sz w:val="24"/>
          <w:szCs w:val="24"/>
        </w:rPr>
        <w:t>Les rapports des experts seront ensuite présentés et discutés en réunion du comité de sélection composé du comité de structuration</w:t>
      </w:r>
      <w:r>
        <w:rPr>
          <w:sz w:val="24"/>
          <w:szCs w:val="24"/>
          <w:vertAlign w:val="superscript"/>
        </w:rPr>
        <w:footnoteReference w:id="3"/>
      </w:r>
      <w:r>
        <w:rPr>
          <w:sz w:val="24"/>
          <w:szCs w:val="24"/>
        </w:rPr>
        <w:t xml:space="preserve">, ainsi </w:t>
      </w:r>
      <w:proofErr w:type="gramStart"/>
      <w:r>
        <w:rPr>
          <w:sz w:val="24"/>
          <w:szCs w:val="24"/>
        </w:rPr>
        <w:t>qu’</w:t>
      </w:r>
      <w:proofErr w:type="spellStart"/>
      <w:r>
        <w:rPr>
          <w:sz w:val="24"/>
          <w:szCs w:val="24"/>
        </w:rPr>
        <w:t>un.e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représentant.e</w:t>
      </w:r>
      <w:proofErr w:type="spellEnd"/>
      <w:r>
        <w:rPr>
          <w:sz w:val="24"/>
          <w:szCs w:val="24"/>
        </w:rPr>
        <w:t xml:space="preserve"> de chacune des universités finançant cet appel à manifestation d’intérêt du GREC Hauts–de-France.  A l’issue de cette sélection, les lauréats de cet appel à projet seront désignés. </w:t>
      </w:r>
    </w:p>
    <w:p w14:paraId="47E1F7DF" w14:textId="77777777" w:rsidR="002C1952" w:rsidRDefault="001F5A78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b/>
          <w:color w:val="000000"/>
          <w:sz w:val="24"/>
          <w:szCs w:val="24"/>
          <w:u w:val="single"/>
        </w:rPr>
      </w:pPr>
      <w:r>
        <w:rPr>
          <w:b/>
          <w:color w:val="000000"/>
          <w:sz w:val="24"/>
          <w:szCs w:val="24"/>
          <w:u w:val="single"/>
        </w:rPr>
        <w:t>Propriété intellectuelle</w:t>
      </w:r>
    </w:p>
    <w:p w14:paraId="42EEF343" w14:textId="77777777" w:rsidR="002C1952" w:rsidRDefault="001F5A78">
      <w:pPr>
        <w:ind w:left="6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Si le projet est retenu, le porteur de projet s’engage à établir une convention de collaboration entre les partenaires incluant les questions liées à la Propriété Intellectuelle.  </w:t>
      </w:r>
    </w:p>
    <w:p w14:paraId="63F73598" w14:textId="77777777" w:rsidR="002C1952" w:rsidRDefault="001F5A78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u w:val="single"/>
        </w:rPr>
        <w:t>Calendrier</w:t>
      </w:r>
    </w:p>
    <w:p w14:paraId="1DCFE369" w14:textId="77777777" w:rsidR="002C1952" w:rsidRDefault="002C1952" w:rsidP="00A358D7">
      <w:pPr>
        <w:pBdr>
          <w:top w:val="nil"/>
          <w:left w:val="nil"/>
          <w:bottom w:val="nil"/>
          <w:right w:val="nil"/>
          <w:between w:val="nil"/>
        </w:pBdr>
        <w:spacing w:after="0"/>
        <w:ind w:left="426"/>
        <w:jc w:val="both"/>
        <w:rPr>
          <w:color w:val="000000"/>
          <w:sz w:val="24"/>
          <w:szCs w:val="24"/>
        </w:rPr>
      </w:pPr>
    </w:p>
    <w:p w14:paraId="4B53E8CB" w14:textId="2DCA59FC" w:rsidR="002C1952" w:rsidRDefault="00262E1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>
        <w:rPr>
          <w:b/>
          <w:sz w:val="24"/>
          <w:szCs w:val="24"/>
        </w:rPr>
        <w:t>15 j</w:t>
      </w:r>
      <w:r w:rsidR="001F5A78">
        <w:rPr>
          <w:b/>
          <w:sz w:val="24"/>
          <w:szCs w:val="24"/>
        </w:rPr>
        <w:t>anvier 2025</w:t>
      </w:r>
      <w:r w:rsidR="001F5A78">
        <w:rPr>
          <w:sz w:val="24"/>
          <w:szCs w:val="24"/>
        </w:rPr>
        <w:t xml:space="preserve"> : lancement de l’AMI</w:t>
      </w:r>
    </w:p>
    <w:p w14:paraId="6D168FAE" w14:textId="05AB9CBE" w:rsidR="002C1952" w:rsidRDefault="0017118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>
        <w:rPr>
          <w:b/>
          <w:sz w:val="24"/>
          <w:szCs w:val="24"/>
        </w:rPr>
        <w:t xml:space="preserve">25 </w:t>
      </w:r>
      <w:r w:rsidR="001F5A78">
        <w:rPr>
          <w:b/>
          <w:sz w:val="24"/>
          <w:szCs w:val="24"/>
        </w:rPr>
        <w:t xml:space="preserve">mars 2025 </w:t>
      </w:r>
      <w:r w:rsidR="001F5A78">
        <w:rPr>
          <w:sz w:val="24"/>
          <w:szCs w:val="24"/>
        </w:rPr>
        <w:t>: date limite de réception des projets</w:t>
      </w:r>
    </w:p>
    <w:p w14:paraId="1593018C" w14:textId="5FB805AA" w:rsidR="002C1952" w:rsidRDefault="001F5A7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>
        <w:rPr>
          <w:b/>
          <w:sz w:val="24"/>
          <w:szCs w:val="24"/>
        </w:rPr>
        <w:t>A partir du</w:t>
      </w:r>
      <w:r w:rsidR="00171186">
        <w:rPr>
          <w:b/>
          <w:sz w:val="24"/>
          <w:szCs w:val="24"/>
        </w:rPr>
        <w:t xml:space="preserve"> 26</w:t>
      </w:r>
      <w:r>
        <w:rPr>
          <w:b/>
          <w:sz w:val="24"/>
          <w:szCs w:val="24"/>
        </w:rPr>
        <w:t xml:space="preserve"> mars 2025</w:t>
      </w:r>
      <w:r>
        <w:rPr>
          <w:sz w:val="24"/>
          <w:szCs w:val="24"/>
        </w:rPr>
        <w:t xml:space="preserve"> : </w:t>
      </w:r>
      <w:r w:rsidR="00171186">
        <w:rPr>
          <w:sz w:val="24"/>
          <w:szCs w:val="24"/>
        </w:rPr>
        <w:t>début de la phase d’expertise</w:t>
      </w:r>
    </w:p>
    <w:p w14:paraId="43AF0ABC" w14:textId="39A92608" w:rsidR="002C1952" w:rsidRDefault="0017118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>
        <w:rPr>
          <w:b/>
          <w:sz w:val="24"/>
          <w:szCs w:val="24"/>
        </w:rPr>
        <w:t>Début juin</w:t>
      </w:r>
      <w:r w:rsidR="001F5A78">
        <w:rPr>
          <w:b/>
          <w:sz w:val="24"/>
          <w:szCs w:val="24"/>
        </w:rPr>
        <w:t xml:space="preserve"> 2025</w:t>
      </w:r>
      <w:r w:rsidR="001F5A78">
        <w:rPr>
          <w:sz w:val="24"/>
          <w:szCs w:val="24"/>
        </w:rPr>
        <w:t> : fin de la phase d’expertise</w:t>
      </w:r>
    </w:p>
    <w:p w14:paraId="2D3BB4F3" w14:textId="114B86EF" w:rsidR="002C1952" w:rsidRDefault="0017118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proofErr w:type="spellStart"/>
      <w:r>
        <w:rPr>
          <w:b/>
          <w:sz w:val="24"/>
          <w:szCs w:val="24"/>
        </w:rPr>
        <w:t>Mi juin</w:t>
      </w:r>
      <w:proofErr w:type="spellEnd"/>
      <w:r w:rsidR="001F5A78">
        <w:rPr>
          <w:b/>
          <w:sz w:val="24"/>
          <w:szCs w:val="24"/>
        </w:rPr>
        <w:t xml:space="preserve"> 2025 </w:t>
      </w:r>
      <w:r w:rsidR="001F5A78">
        <w:rPr>
          <w:sz w:val="24"/>
          <w:szCs w:val="24"/>
        </w:rPr>
        <w:t>: réunion du comité de sélection des lauréats</w:t>
      </w:r>
    </w:p>
    <w:p w14:paraId="6699A245" w14:textId="1382A5BA" w:rsidR="002C1952" w:rsidRDefault="0017118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>
        <w:rPr>
          <w:b/>
          <w:sz w:val="24"/>
          <w:szCs w:val="24"/>
        </w:rPr>
        <w:t>Fin</w:t>
      </w:r>
      <w:r w:rsidR="001F5A78">
        <w:rPr>
          <w:b/>
          <w:sz w:val="24"/>
          <w:szCs w:val="24"/>
        </w:rPr>
        <w:t xml:space="preserve"> juin 2025</w:t>
      </w:r>
      <w:r w:rsidR="001F5A78">
        <w:rPr>
          <w:sz w:val="24"/>
          <w:szCs w:val="24"/>
        </w:rPr>
        <w:t xml:space="preserve"> : installation des crédits dans les établissements et démarrage des projets </w:t>
      </w:r>
    </w:p>
    <w:p w14:paraId="2EF322A9" w14:textId="77777777" w:rsidR="002C1952" w:rsidRDefault="002C195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sz w:val="24"/>
          <w:szCs w:val="24"/>
        </w:rPr>
      </w:pPr>
    </w:p>
    <w:p w14:paraId="40856EF5" w14:textId="77777777" w:rsidR="002C1952" w:rsidRDefault="001F5A7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noter que les dépenses sont à engager avant le 31/12/2025. </w:t>
      </w:r>
    </w:p>
    <w:p w14:paraId="59FE845E" w14:textId="77777777" w:rsidR="002C1952" w:rsidRDefault="001F5A78">
      <w:pPr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 </w:t>
      </w:r>
    </w:p>
    <w:p w14:paraId="14290269" w14:textId="77777777" w:rsidR="002C1952" w:rsidRDefault="002C1952">
      <w:pPr>
        <w:ind w:left="66"/>
        <w:jc w:val="both"/>
        <w:rPr>
          <w:sz w:val="24"/>
          <w:szCs w:val="24"/>
        </w:rPr>
      </w:pPr>
    </w:p>
    <w:p w14:paraId="044E3E14" w14:textId="77777777" w:rsidR="002C1952" w:rsidRDefault="002C1952">
      <w:pPr>
        <w:ind w:left="66"/>
        <w:jc w:val="both"/>
        <w:rPr>
          <w:sz w:val="24"/>
          <w:szCs w:val="24"/>
        </w:rPr>
      </w:pPr>
    </w:p>
    <w:p w14:paraId="48B04721" w14:textId="77777777" w:rsidR="002C1952" w:rsidRDefault="002C1952">
      <w:pPr>
        <w:ind w:left="66"/>
        <w:jc w:val="both"/>
        <w:rPr>
          <w:sz w:val="24"/>
          <w:szCs w:val="24"/>
        </w:rPr>
      </w:pPr>
    </w:p>
    <w:p w14:paraId="2DA589DE" w14:textId="77777777" w:rsidR="002C1952" w:rsidRDefault="002C1952">
      <w:pPr>
        <w:ind w:left="66"/>
        <w:jc w:val="both"/>
        <w:rPr>
          <w:sz w:val="24"/>
          <w:szCs w:val="24"/>
        </w:rPr>
      </w:pPr>
    </w:p>
    <w:p w14:paraId="42A6CB10" w14:textId="77777777" w:rsidR="002C1952" w:rsidRDefault="002C1952">
      <w:pPr>
        <w:ind w:left="66"/>
        <w:jc w:val="both"/>
        <w:rPr>
          <w:sz w:val="24"/>
          <w:szCs w:val="24"/>
        </w:rPr>
      </w:pPr>
    </w:p>
    <w:p w14:paraId="13C8EE3F" w14:textId="77777777" w:rsidR="002C1952" w:rsidRDefault="002C1952">
      <w:pPr>
        <w:ind w:left="66"/>
        <w:jc w:val="both"/>
        <w:rPr>
          <w:sz w:val="24"/>
          <w:szCs w:val="24"/>
        </w:rPr>
      </w:pPr>
    </w:p>
    <w:p w14:paraId="1E689AAA" w14:textId="77777777" w:rsidR="002C1952" w:rsidRDefault="002C1952">
      <w:pPr>
        <w:ind w:left="66"/>
        <w:jc w:val="both"/>
        <w:rPr>
          <w:sz w:val="24"/>
          <w:szCs w:val="24"/>
        </w:rPr>
      </w:pPr>
    </w:p>
    <w:p w14:paraId="2E0232F1" w14:textId="77777777" w:rsidR="002C1952" w:rsidRDefault="002C1952">
      <w:pPr>
        <w:ind w:left="66"/>
        <w:jc w:val="both"/>
        <w:rPr>
          <w:sz w:val="24"/>
          <w:szCs w:val="24"/>
        </w:rPr>
      </w:pPr>
    </w:p>
    <w:p w14:paraId="25691075" w14:textId="77777777" w:rsidR="002C1952" w:rsidRDefault="002C1952">
      <w:pPr>
        <w:ind w:left="66"/>
        <w:jc w:val="both"/>
        <w:rPr>
          <w:sz w:val="24"/>
          <w:szCs w:val="24"/>
        </w:rPr>
      </w:pPr>
    </w:p>
    <w:p w14:paraId="4AA9283A" w14:textId="77777777" w:rsidR="002C1952" w:rsidRDefault="002C1952">
      <w:pPr>
        <w:ind w:left="66"/>
        <w:jc w:val="both"/>
        <w:rPr>
          <w:sz w:val="24"/>
          <w:szCs w:val="24"/>
        </w:rPr>
      </w:pPr>
    </w:p>
    <w:p w14:paraId="56791D19" w14:textId="77777777" w:rsidR="002C1952" w:rsidRDefault="001F5A78">
      <w:pPr>
        <w:pStyle w:val="Titre"/>
        <w:jc w:val="right"/>
      </w:pPr>
      <w:r>
        <w:t xml:space="preserve">ANNEXE </w:t>
      </w:r>
    </w:p>
    <w:p w14:paraId="7F5E34B9" w14:textId="77777777" w:rsidR="002C1952" w:rsidRDefault="001F5A78">
      <w:pPr>
        <w:pStyle w:val="Titre1"/>
        <w:jc w:val="center"/>
      </w:pPr>
      <w:r>
        <w:br w:type="page"/>
      </w:r>
      <w:r>
        <w:lastRenderedPageBreak/>
        <w:t>Appel à projets GREC Hauts-de-France 2025</w:t>
      </w:r>
    </w:p>
    <w:p w14:paraId="5C19ABF2" w14:textId="77777777" w:rsidR="002C1952" w:rsidRDefault="001F5A78">
      <w:pPr>
        <w:pStyle w:val="Titre1"/>
        <w:jc w:val="center"/>
        <w:rPr>
          <w:sz w:val="56"/>
          <w:szCs w:val="56"/>
        </w:rPr>
      </w:pPr>
      <w:r>
        <w:rPr>
          <w:sz w:val="56"/>
          <w:szCs w:val="56"/>
        </w:rPr>
        <w:t>Dossier de candidature</w:t>
      </w:r>
    </w:p>
    <w:p w14:paraId="5FE63DCD" w14:textId="77777777" w:rsidR="002C1952" w:rsidRDefault="002C1952"/>
    <w:p w14:paraId="1EDDC7FA" w14:textId="77777777" w:rsidR="002C1952" w:rsidRDefault="001F5A7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Intitulé du projet : </w:t>
      </w:r>
    </w:p>
    <w:p w14:paraId="3D4D87E1" w14:textId="77777777" w:rsidR="002C1952" w:rsidRDefault="002C1952">
      <w:pPr>
        <w:rPr>
          <w:b/>
          <w:sz w:val="24"/>
          <w:szCs w:val="24"/>
        </w:rPr>
      </w:pPr>
    </w:p>
    <w:p w14:paraId="62629635" w14:textId="77777777" w:rsidR="002C1952" w:rsidRDefault="001F5A7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Organisme porteur : </w:t>
      </w:r>
    </w:p>
    <w:p w14:paraId="7B29566D" w14:textId="77777777" w:rsidR="002C1952" w:rsidRDefault="002C1952">
      <w:pPr>
        <w:rPr>
          <w:b/>
          <w:sz w:val="24"/>
          <w:szCs w:val="24"/>
        </w:rPr>
      </w:pPr>
    </w:p>
    <w:p w14:paraId="7BE5985E" w14:textId="77777777" w:rsidR="002C1952" w:rsidRDefault="001F5A7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Coordonnées du porteur ou de la porteuse du projet (nom, prénom, téléphone, email, organisme de rattachement) : </w:t>
      </w:r>
    </w:p>
    <w:p w14:paraId="32134942" w14:textId="77777777" w:rsidR="002C1952" w:rsidRDefault="002C1952">
      <w:pPr>
        <w:rPr>
          <w:b/>
          <w:sz w:val="24"/>
          <w:szCs w:val="24"/>
        </w:rPr>
      </w:pPr>
    </w:p>
    <w:p w14:paraId="28EE2D3D" w14:textId="77777777" w:rsidR="002C1952" w:rsidRDefault="001F5A7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Résumé du projet en une dizaine de lignes explicitant le besoin d’expertise au regard des vulnérabilités et risques du territoire : </w:t>
      </w:r>
    </w:p>
    <w:p w14:paraId="544A42D8" w14:textId="77777777" w:rsidR="002C1952" w:rsidRDefault="002C1952">
      <w:pPr>
        <w:rPr>
          <w:b/>
          <w:sz w:val="24"/>
          <w:szCs w:val="24"/>
        </w:rPr>
      </w:pPr>
    </w:p>
    <w:p w14:paraId="3FF32F76" w14:textId="77777777" w:rsidR="002C1952" w:rsidRDefault="001F5A78">
      <w:pPr>
        <w:rPr>
          <w:b/>
          <w:sz w:val="24"/>
          <w:szCs w:val="24"/>
        </w:rPr>
      </w:pPr>
      <w:r>
        <w:br w:type="page"/>
      </w:r>
    </w:p>
    <w:p w14:paraId="6F709748" w14:textId="77777777" w:rsidR="002C1952" w:rsidRDefault="001F5A78">
      <w:pPr>
        <w:numPr>
          <w:ilvl w:val="6"/>
          <w:numId w:val="1"/>
        </w:numPr>
        <w:pBdr>
          <w:top w:val="nil"/>
          <w:left w:val="nil"/>
          <w:bottom w:val="nil"/>
          <w:right w:val="nil"/>
          <w:between w:val="nil"/>
        </w:pBdr>
        <w:ind w:left="284" w:hanging="362"/>
        <w:rPr>
          <w:b/>
          <w:color w:val="000000"/>
          <w:sz w:val="24"/>
          <w:szCs w:val="24"/>
          <w:u w:val="single"/>
        </w:rPr>
      </w:pPr>
      <w:r>
        <w:rPr>
          <w:b/>
          <w:color w:val="000000"/>
          <w:sz w:val="24"/>
          <w:szCs w:val="24"/>
          <w:u w:val="single"/>
        </w:rPr>
        <w:lastRenderedPageBreak/>
        <w:t xml:space="preserve">Information sur le porteur de projet : </w:t>
      </w:r>
    </w:p>
    <w:p w14:paraId="4D68A80E" w14:textId="77777777" w:rsidR="002C1952" w:rsidRDefault="001F5A78">
      <w:pPr>
        <w:rPr>
          <w:b/>
          <w:sz w:val="24"/>
          <w:szCs w:val="24"/>
        </w:rPr>
      </w:pPr>
      <w:r>
        <w:rPr>
          <w:b/>
          <w:sz w:val="24"/>
          <w:szCs w:val="24"/>
        </w:rPr>
        <w:t>Nom de l’organisme :</w:t>
      </w:r>
    </w:p>
    <w:p w14:paraId="43040783" w14:textId="77777777" w:rsidR="002C1952" w:rsidRDefault="001F5A7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Statut juridique : </w:t>
      </w:r>
    </w:p>
    <w:p w14:paraId="0CA1120C" w14:textId="77777777" w:rsidR="002C1952" w:rsidRDefault="001F5A7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N° SIRET : </w:t>
      </w:r>
    </w:p>
    <w:p w14:paraId="1A3E0797" w14:textId="77777777" w:rsidR="002C1952" w:rsidRDefault="001F5A7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Activité principale : </w:t>
      </w:r>
    </w:p>
    <w:p w14:paraId="58B5EC4B" w14:textId="77777777" w:rsidR="002C1952" w:rsidRDefault="001F5A7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Adresse : </w:t>
      </w:r>
    </w:p>
    <w:p w14:paraId="5636DB2D" w14:textId="77777777" w:rsidR="002C1952" w:rsidRDefault="001F5A7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Indiquer si des collaborations antérieures ont déjà été menées avec des scientifiques ou si vous avez identifié des partenaires académiques pouvant répondre à vos besoins : </w:t>
      </w:r>
    </w:p>
    <w:p w14:paraId="118336B3" w14:textId="77777777" w:rsidR="002C1952" w:rsidRDefault="002C1952">
      <w:pPr>
        <w:rPr>
          <w:b/>
          <w:sz w:val="24"/>
          <w:szCs w:val="24"/>
        </w:rPr>
      </w:pPr>
    </w:p>
    <w:p w14:paraId="71D63356" w14:textId="77777777" w:rsidR="002C1952" w:rsidRDefault="002C1952">
      <w:pPr>
        <w:rPr>
          <w:b/>
          <w:sz w:val="24"/>
          <w:szCs w:val="24"/>
        </w:rPr>
      </w:pPr>
    </w:p>
    <w:p w14:paraId="417C60EE" w14:textId="77777777" w:rsidR="002C1952" w:rsidRDefault="001F5A78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Dans le cas contraire, les membres du comité de structuration vous accompagneront pour identifier les partenaires. </w:t>
      </w:r>
    </w:p>
    <w:p w14:paraId="5B9F5982" w14:textId="77777777" w:rsidR="002C1952" w:rsidRDefault="002C1952">
      <w:pPr>
        <w:rPr>
          <w:b/>
          <w:i/>
          <w:sz w:val="24"/>
          <w:szCs w:val="24"/>
        </w:rPr>
      </w:pPr>
    </w:p>
    <w:p w14:paraId="0B39C245" w14:textId="77777777" w:rsidR="002C1952" w:rsidRDefault="001F5A78">
      <w:pPr>
        <w:numPr>
          <w:ilvl w:val="6"/>
          <w:numId w:val="1"/>
        </w:numPr>
        <w:pBdr>
          <w:top w:val="nil"/>
          <w:left w:val="nil"/>
          <w:bottom w:val="nil"/>
          <w:right w:val="nil"/>
          <w:between w:val="nil"/>
        </w:pBdr>
        <w:ind w:left="426" w:hanging="425"/>
        <w:rPr>
          <w:b/>
          <w:color w:val="000000"/>
          <w:sz w:val="24"/>
          <w:szCs w:val="24"/>
          <w:u w:val="single"/>
        </w:rPr>
      </w:pPr>
      <w:r>
        <w:rPr>
          <w:b/>
          <w:color w:val="000000"/>
          <w:sz w:val="24"/>
          <w:szCs w:val="24"/>
          <w:u w:val="single"/>
        </w:rPr>
        <w:t xml:space="preserve">Pertinence du projet </w:t>
      </w:r>
    </w:p>
    <w:p w14:paraId="41DE9613" w14:textId="77777777" w:rsidR="002C1952" w:rsidRDefault="001F5A7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Quels sont les risques auxquels font face votre territoire ? </w:t>
      </w:r>
    </w:p>
    <w:p w14:paraId="13303BE9" w14:textId="77777777" w:rsidR="002C1952" w:rsidRDefault="002C1952">
      <w:pPr>
        <w:rPr>
          <w:b/>
          <w:sz w:val="24"/>
          <w:szCs w:val="24"/>
        </w:rPr>
      </w:pPr>
    </w:p>
    <w:p w14:paraId="3C77076D" w14:textId="77777777" w:rsidR="002C1952" w:rsidRDefault="002C1952">
      <w:pPr>
        <w:rPr>
          <w:b/>
          <w:sz w:val="24"/>
          <w:szCs w:val="24"/>
        </w:rPr>
      </w:pPr>
    </w:p>
    <w:p w14:paraId="3D64B9C3" w14:textId="77777777" w:rsidR="002C1952" w:rsidRDefault="001F5A7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Quelles sont les motivations à collaborer et bénéficier d’une expertise scientifique ?  </w:t>
      </w:r>
    </w:p>
    <w:p w14:paraId="5C374D86" w14:textId="77777777" w:rsidR="002C1952" w:rsidRDefault="002C1952">
      <w:pPr>
        <w:rPr>
          <w:b/>
          <w:sz w:val="24"/>
          <w:szCs w:val="24"/>
        </w:rPr>
      </w:pPr>
    </w:p>
    <w:p w14:paraId="50A5E5CB" w14:textId="77777777" w:rsidR="002C1952" w:rsidRDefault="002C1952">
      <w:pPr>
        <w:rPr>
          <w:b/>
          <w:sz w:val="24"/>
          <w:szCs w:val="24"/>
        </w:rPr>
      </w:pPr>
    </w:p>
    <w:p w14:paraId="076D8DF7" w14:textId="77777777" w:rsidR="002C1952" w:rsidRDefault="001F5A78">
      <w:pPr>
        <w:numPr>
          <w:ilvl w:val="6"/>
          <w:numId w:val="1"/>
        </w:numPr>
        <w:pBdr>
          <w:top w:val="nil"/>
          <w:left w:val="nil"/>
          <w:bottom w:val="nil"/>
          <w:right w:val="nil"/>
          <w:between w:val="nil"/>
        </w:pBdr>
        <w:ind w:left="426"/>
        <w:rPr>
          <w:b/>
          <w:color w:val="000000"/>
          <w:sz w:val="24"/>
          <w:szCs w:val="24"/>
          <w:u w:val="single"/>
        </w:rPr>
      </w:pPr>
      <w:r>
        <w:rPr>
          <w:b/>
          <w:color w:val="000000"/>
          <w:sz w:val="24"/>
          <w:szCs w:val="24"/>
          <w:u w:val="single"/>
        </w:rPr>
        <w:t xml:space="preserve">Impact du projet </w:t>
      </w:r>
    </w:p>
    <w:p w14:paraId="10EC01D1" w14:textId="77777777" w:rsidR="002C1952" w:rsidRDefault="001F5A7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Quel est l’impact attendu du projet pour le territoire ? </w:t>
      </w:r>
    </w:p>
    <w:p w14:paraId="490E7489" w14:textId="77777777" w:rsidR="002C1952" w:rsidRDefault="002C1952">
      <w:pPr>
        <w:rPr>
          <w:b/>
          <w:sz w:val="24"/>
          <w:szCs w:val="24"/>
        </w:rPr>
      </w:pPr>
    </w:p>
    <w:p w14:paraId="4A997BCB" w14:textId="77777777" w:rsidR="002C1952" w:rsidRDefault="001F5A78">
      <w:pPr>
        <w:rPr>
          <w:b/>
          <w:sz w:val="24"/>
          <w:szCs w:val="24"/>
        </w:rPr>
      </w:pPr>
      <w:r>
        <w:rPr>
          <w:b/>
          <w:sz w:val="24"/>
          <w:szCs w:val="24"/>
        </w:rPr>
        <w:t>Quelles sont les principales parties prenantes et bénéficiaires ? Préciser le rôle et la nature de l’implication de chaque partenaire (missions et tâches dévolues, ressources humaines intervenantes, équipements employés …).</w:t>
      </w:r>
    </w:p>
    <w:p w14:paraId="7D2EF448" w14:textId="77777777" w:rsidR="002C1952" w:rsidRDefault="002C1952">
      <w:pPr>
        <w:rPr>
          <w:b/>
          <w:sz w:val="24"/>
          <w:szCs w:val="24"/>
        </w:rPr>
      </w:pPr>
    </w:p>
    <w:p w14:paraId="0D5E70AF" w14:textId="77777777" w:rsidR="002C1952" w:rsidRDefault="001F5A7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Indiquer si l’expertise développée pendant le projet pourrait être utilisée sur d’autres territoires ou à plus grande échelle. </w:t>
      </w:r>
    </w:p>
    <w:p w14:paraId="7B15AD3B" w14:textId="77777777" w:rsidR="002C1952" w:rsidRDefault="002C1952">
      <w:pPr>
        <w:rPr>
          <w:b/>
          <w:sz w:val="24"/>
          <w:szCs w:val="24"/>
        </w:rPr>
      </w:pPr>
    </w:p>
    <w:p w14:paraId="09A3B177" w14:textId="77777777" w:rsidR="002C1952" w:rsidRDefault="002C1952">
      <w:pPr>
        <w:rPr>
          <w:b/>
          <w:sz w:val="24"/>
          <w:szCs w:val="24"/>
        </w:rPr>
      </w:pPr>
    </w:p>
    <w:p w14:paraId="67DBCD9D" w14:textId="77777777" w:rsidR="002C1952" w:rsidRDefault="002C1952">
      <w:pPr>
        <w:rPr>
          <w:b/>
          <w:sz w:val="24"/>
          <w:szCs w:val="24"/>
        </w:rPr>
      </w:pPr>
    </w:p>
    <w:p w14:paraId="766BE064" w14:textId="77777777" w:rsidR="002C1952" w:rsidRDefault="001F5A78">
      <w:pPr>
        <w:numPr>
          <w:ilvl w:val="6"/>
          <w:numId w:val="1"/>
        </w:numPr>
        <w:pBdr>
          <w:top w:val="nil"/>
          <w:left w:val="nil"/>
          <w:bottom w:val="nil"/>
          <w:right w:val="nil"/>
          <w:between w:val="nil"/>
        </w:pBdr>
        <w:ind w:left="426"/>
        <w:rPr>
          <w:b/>
          <w:color w:val="000000"/>
          <w:sz w:val="24"/>
          <w:szCs w:val="24"/>
          <w:u w:val="single"/>
        </w:rPr>
      </w:pPr>
      <w:r>
        <w:rPr>
          <w:b/>
          <w:color w:val="000000"/>
          <w:sz w:val="24"/>
          <w:szCs w:val="24"/>
          <w:u w:val="single"/>
        </w:rPr>
        <w:t>Description financière du projet</w:t>
      </w:r>
    </w:p>
    <w:p w14:paraId="238C4CCC" w14:textId="77777777" w:rsidR="002C1952" w:rsidRDefault="001F5A78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sz w:val="24"/>
          <w:szCs w:val="24"/>
        </w:rPr>
        <w:t>Chaque projet retenu disposera d’un financement maximum de 10k euros.</w:t>
      </w:r>
    </w:p>
    <w:p w14:paraId="586AFA4F" w14:textId="77777777" w:rsidR="002C1952" w:rsidRDefault="002C1952">
      <w:pPr>
        <w:keepNext/>
        <w:keepLines/>
        <w:spacing w:before="40" w:after="0" w:line="240" w:lineRule="auto"/>
        <w:ind w:left="360"/>
        <w:jc w:val="both"/>
        <w:rPr>
          <w:rFonts w:ascii="Cambria" w:eastAsia="Cambria" w:hAnsi="Cambria" w:cs="Cambria"/>
          <w:b/>
          <w:sz w:val="24"/>
          <w:szCs w:val="24"/>
        </w:rPr>
      </w:pPr>
    </w:p>
    <w:p w14:paraId="1B119E7D" w14:textId="77777777" w:rsidR="002C1952" w:rsidRDefault="001F5A78">
      <w:pPr>
        <w:keepNext/>
        <w:keepLines/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40" w:after="0" w:line="240" w:lineRule="auto"/>
        <w:jc w:val="both"/>
        <w:rPr>
          <w:rFonts w:ascii="Cambria" w:eastAsia="Cambria" w:hAnsi="Cambria" w:cs="Cambria"/>
          <w:b/>
          <w:sz w:val="24"/>
          <w:szCs w:val="24"/>
          <w:u w:val="single"/>
        </w:rPr>
      </w:pPr>
      <w:r>
        <w:rPr>
          <w:rFonts w:ascii="Cambria" w:eastAsia="Cambria" w:hAnsi="Cambria" w:cs="Cambria"/>
          <w:b/>
          <w:color w:val="000000"/>
          <w:sz w:val="24"/>
          <w:szCs w:val="24"/>
          <w:u w:val="single"/>
        </w:rPr>
        <w:t xml:space="preserve">Dépenses </w:t>
      </w:r>
    </w:p>
    <w:p w14:paraId="0DF9E992" w14:textId="77777777" w:rsidR="002C1952" w:rsidRDefault="002C1952">
      <w:pPr>
        <w:spacing w:after="0" w:line="240" w:lineRule="auto"/>
        <w:jc w:val="both"/>
        <w:rPr>
          <w:rFonts w:ascii="Cambria" w:eastAsia="Cambria" w:hAnsi="Cambria" w:cs="Cambria"/>
          <w:sz w:val="24"/>
          <w:szCs w:val="24"/>
        </w:rPr>
      </w:pPr>
    </w:p>
    <w:p w14:paraId="47823671" w14:textId="77777777" w:rsidR="002C1952" w:rsidRDefault="001F5A78">
      <w:pPr>
        <w:spacing w:after="0" w:line="240" w:lineRule="auto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Le comité de sélection se réserve le droit d’écarter certaines dépenses qu’elle jugera non pertinentes, lors de l’étape de sélection des projets. </w:t>
      </w:r>
    </w:p>
    <w:p w14:paraId="696F73ED" w14:textId="77777777" w:rsidR="002C1952" w:rsidRDefault="002C1952">
      <w:pPr>
        <w:spacing w:line="240" w:lineRule="auto"/>
        <w:jc w:val="both"/>
        <w:rPr>
          <w:rFonts w:ascii="Cambria" w:eastAsia="Cambria" w:hAnsi="Cambria" w:cs="Cambria"/>
          <w:sz w:val="24"/>
          <w:szCs w:val="24"/>
        </w:rPr>
      </w:pPr>
    </w:p>
    <w:p w14:paraId="73BF33FF" w14:textId="77777777" w:rsidR="002C1952" w:rsidRDefault="001F5A78">
      <w:pPr>
        <w:spacing w:before="160" w:after="120" w:line="240" w:lineRule="auto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Compléter le tableau ci-dessous avec la liste des dépenses de fonctionnement envisagées (une ligne pour chaque dépense) en vous basant sur l’exemple donné :</w:t>
      </w:r>
    </w:p>
    <w:p w14:paraId="093AA2DE" w14:textId="77777777" w:rsidR="002C1952" w:rsidRDefault="002C1952">
      <w:pPr>
        <w:rPr>
          <w:rFonts w:ascii="Cambria" w:eastAsia="Cambria" w:hAnsi="Cambria" w:cs="Cambria"/>
          <w:color w:val="0070C0"/>
          <w:sz w:val="24"/>
          <w:szCs w:val="24"/>
        </w:rPr>
      </w:pPr>
    </w:p>
    <w:tbl>
      <w:tblPr>
        <w:tblStyle w:val="a"/>
        <w:tblW w:w="929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93"/>
        <w:gridCol w:w="1471"/>
        <w:gridCol w:w="3078"/>
        <w:gridCol w:w="2250"/>
      </w:tblGrid>
      <w:tr w:rsidR="002C1952" w14:paraId="621C5A19" w14:textId="77777777">
        <w:tc>
          <w:tcPr>
            <w:tcW w:w="2493" w:type="dxa"/>
            <w:shd w:val="clear" w:color="auto" w:fill="0070C0"/>
            <w:vAlign w:val="center"/>
          </w:tcPr>
          <w:p w14:paraId="2986E169" w14:textId="77777777" w:rsidR="002C1952" w:rsidRDefault="001F5A78">
            <w:pPr>
              <w:keepNext/>
              <w:jc w:val="center"/>
              <w:rPr>
                <w:rFonts w:ascii="Cambria" w:eastAsia="Cambria" w:hAnsi="Cambria" w:cs="Cambria"/>
                <w:color w:val="FFFFFF"/>
              </w:rPr>
            </w:pPr>
            <w:r>
              <w:rPr>
                <w:rFonts w:ascii="Cambria" w:eastAsia="Cambria" w:hAnsi="Cambria" w:cs="Cambria"/>
                <w:color w:val="FFFFFF"/>
              </w:rPr>
              <w:t>Intitulé de la dépense</w:t>
            </w:r>
          </w:p>
        </w:tc>
        <w:tc>
          <w:tcPr>
            <w:tcW w:w="1471" w:type="dxa"/>
            <w:shd w:val="clear" w:color="auto" w:fill="0070C0"/>
            <w:vAlign w:val="center"/>
          </w:tcPr>
          <w:p w14:paraId="36824CEA" w14:textId="77777777" w:rsidR="002C1952" w:rsidRDefault="001F5A78">
            <w:pPr>
              <w:keepNext/>
              <w:jc w:val="center"/>
              <w:rPr>
                <w:rFonts w:ascii="Cambria" w:eastAsia="Cambria" w:hAnsi="Cambria" w:cs="Cambria"/>
                <w:color w:val="FFFFFF"/>
              </w:rPr>
            </w:pPr>
            <w:r>
              <w:rPr>
                <w:rFonts w:ascii="Cambria" w:eastAsia="Cambria" w:hAnsi="Cambria" w:cs="Cambria"/>
                <w:color w:val="FFFFFF"/>
              </w:rPr>
              <w:t>Montant (€HT)</w:t>
            </w:r>
          </w:p>
        </w:tc>
        <w:tc>
          <w:tcPr>
            <w:tcW w:w="3078" w:type="dxa"/>
            <w:shd w:val="clear" w:color="auto" w:fill="0070C0"/>
            <w:vAlign w:val="center"/>
          </w:tcPr>
          <w:p w14:paraId="3FCD89B2" w14:textId="77777777" w:rsidR="002C1952" w:rsidRDefault="001F5A78">
            <w:pPr>
              <w:keepNext/>
              <w:jc w:val="center"/>
              <w:rPr>
                <w:rFonts w:ascii="Cambria" w:eastAsia="Cambria" w:hAnsi="Cambria" w:cs="Cambria"/>
                <w:color w:val="FFFFFF"/>
              </w:rPr>
            </w:pPr>
            <w:r>
              <w:rPr>
                <w:rFonts w:ascii="Cambria" w:eastAsia="Cambria" w:hAnsi="Cambria" w:cs="Cambria"/>
                <w:color w:val="FFFFFF"/>
              </w:rPr>
              <w:t>Explication du montant (calcul)</w:t>
            </w:r>
          </w:p>
        </w:tc>
        <w:tc>
          <w:tcPr>
            <w:tcW w:w="2250" w:type="dxa"/>
            <w:shd w:val="clear" w:color="auto" w:fill="0070C0"/>
            <w:vAlign w:val="center"/>
          </w:tcPr>
          <w:p w14:paraId="4B283F97" w14:textId="77777777" w:rsidR="002C1952" w:rsidRDefault="001F5A78">
            <w:pPr>
              <w:keepNext/>
              <w:jc w:val="center"/>
              <w:rPr>
                <w:rFonts w:ascii="Cambria" w:eastAsia="Cambria" w:hAnsi="Cambria" w:cs="Cambria"/>
                <w:color w:val="FFFFFF"/>
              </w:rPr>
            </w:pPr>
            <w:r>
              <w:rPr>
                <w:rFonts w:ascii="Cambria" w:eastAsia="Cambria" w:hAnsi="Cambria" w:cs="Cambria"/>
                <w:color w:val="FFFFFF"/>
              </w:rPr>
              <w:t>Utilisation pour le projet</w:t>
            </w:r>
          </w:p>
        </w:tc>
      </w:tr>
      <w:tr w:rsidR="002C1952" w14:paraId="4283492D" w14:textId="77777777">
        <w:tc>
          <w:tcPr>
            <w:tcW w:w="2493" w:type="dxa"/>
            <w:vAlign w:val="center"/>
          </w:tcPr>
          <w:p w14:paraId="74B94D8A" w14:textId="77777777" w:rsidR="002C1952" w:rsidRDefault="002C1952">
            <w:pPr>
              <w:keepNext/>
              <w:jc w:val="center"/>
              <w:rPr>
                <w:rFonts w:ascii="Cambria" w:eastAsia="Cambria" w:hAnsi="Cambria" w:cs="Cambria"/>
                <w:color w:val="000000"/>
              </w:rPr>
            </w:pPr>
          </w:p>
        </w:tc>
        <w:tc>
          <w:tcPr>
            <w:tcW w:w="1471" w:type="dxa"/>
            <w:vAlign w:val="center"/>
          </w:tcPr>
          <w:p w14:paraId="03E0ACE2" w14:textId="77777777" w:rsidR="002C1952" w:rsidRDefault="002C1952">
            <w:pPr>
              <w:keepNext/>
              <w:jc w:val="center"/>
              <w:rPr>
                <w:rFonts w:ascii="Cambria" w:eastAsia="Cambria" w:hAnsi="Cambria" w:cs="Cambria"/>
                <w:color w:val="000000"/>
              </w:rPr>
            </w:pPr>
          </w:p>
        </w:tc>
        <w:tc>
          <w:tcPr>
            <w:tcW w:w="3078" w:type="dxa"/>
            <w:vAlign w:val="center"/>
          </w:tcPr>
          <w:p w14:paraId="5D55166B" w14:textId="77777777" w:rsidR="002C1952" w:rsidRDefault="002C1952">
            <w:pPr>
              <w:keepNext/>
              <w:jc w:val="center"/>
              <w:rPr>
                <w:rFonts w:ascii="Cambria" w:eastAsia="Cambria" w:hAnsi="Cambria" w:cs="Cambria"/>
                <w:color w:val="000000"/>
              </w:rPr>
            </w:pPr>
          </w:p>
        </w:tc>
        <w:tc>
          <w:tcPr>
            <w:tcW w:w="2250" w:type="dxa"/>
            <w:vAlign w:val="center"/>
          </w:tcPr>
          <w:p w14:paraId="2449E92E" w14:textId="77777777" w:rsidR="002C1952" w:rsidRDefault="002C1952">
            <w:pPr>
              <w:keepNext/>
              <w:jc w:val="center"/>
              <w:rPr>
                <w:rFonts w:ascii="Cambria" w:eastAsia="Cambria" w:hAnsi="Cambria" w:cs="Cambria"/>
                <w:color w:val="000000"/>
              </w:rPr>
            </w:pPr>
          </w:p>
        </w:tc>
      </w:tr>
      <w:tr w:rsidR="002C1952" w14:paraId="5854AB79" w14:textId="77777777">
        <w:tc>
          <w:tcPr>
            <w:tcW w:w="2493" w:type="dxa"/>
            <w:vAlign w:val="center"/>
          </w:tcPr>
          <w:p w14:paraId="419B176B" w14:textId="77777777" w:rsidR="002C1952" w:rsidRDefault="002C1952">
            <w:pPr>
              <w:keepNext/>
              <w:jc w:val="center"/>
              <w:rPr>
                <w:rFonts w:ascii="Cambria" w:eastAsia="Cambria" w:hAnsi="Cambria" w:cs="Cambria"/>
                <w:b/>
                <w:color w:val="000000"/>
                <w:u w:val="single"/>
              </w:rPr>
            </w:pPr>
          </w:p>
        </w:tc>
        <w:tc>
          <w:tcPr>
            <w:tcW w:w="1471" w:type="dxa"/>
            <w:vAlign w:val="center"/>
          </w:tcPr>
          <w:p w14:paraId="75DE3611" w14:textId="77777777" w:rsidR="002C1952" w:rsidRDefault="002C1952">
            <w:pPr>
              <w:keepNext/>
              <w:jc w:val="center"/>
              <w:rPr>
                <w:rFonts w:ascii="Cambria" w:eastAsia="Cambria" w:hAnsi="Cambria" w:cs="Cambria"/>
                <w:b/>
                <w:color w:val="000000"/>
                <w:u w:val="single"/>
              </w:rPr>
            </w:pPr>
          </w:p>
        </w:tc>
        <w:tc>
          <w:tcPr>
            <w:tcW w:w="3078" w:type="dxa"/>
            <w:vAlign w:val="center"/>
          </w:tcPr>
          <w:p w14:paraId="68CD0DFA" w14:textId="77777777" w:rsidR="002C1952" w:rsidRDefault="002C1952">
            <w:pPr>
              <w:keepNext/>
              <w:jc w:val="center"/>
              <w:rPr>
                <w:rFonts w:ascii="Cambria" w:eastAsia="Cambria" w:hAnsi="Cambria" w:cs="Cambria"/>
                <w:color w:val="000000"/>
              </w:rPr>
            </w:pPr>
          </w:p>
        </w:tc>
        <w:tc>
          <w:tcPr>
            <w:tcW w:w="2250" w:type="dxa"/>
            <w:vAlign w:val="center"/>
          </w:tcPr>
          <w:p w14:paraId="1D9E2DED" w14:textId="77777777" w:rsidR="002C1952" w:rsidRDefault="002C1952">
            <w:pPr>
              <w:keepNext/>
              <w:jc w:val="center"/>
              <w:rPr>
                <w:rFonts w:ascii="Cambria" w:eastAsia="Cambria" w:hAnsi="Cambria" w:cs="Cambria"/>
                <w:b/>
                <w:color w:val="000000"/>
                <w:u w:val="single"/>
              </w:rPr>
            </w:pPr>
          </w:p>
        </w:tc>
      </w:tr>
      <w:tr w:rsidR="002C1952" w14:paraId="5C23A2E4" w14:textId="77777777">
        <w:tc>
          <w:tcPr>
            <w:tcW w:w="2493" w:type="dxa"/>
            <w:vAlign w:val="center"/>
          </w:tcPr>
          <w:p w14:paraId="43431AA5" w14:textId="77777777" w:rsidR="002C1952" w:rsidRDefault="002C1952">
            <w:pPr>
              <w:keepNext/>
              <w:jc w:val="center"/>
              <w:rPr>
                <w:rFonts w:ascii="Cambria" w:eastAsia="Cambria" w:hAnsi="Cambria" w:cs="Cambria"/>
                <w:b/>
                <w:color w:val="000000"/>
                <w:u w:val="single"/>
              </w:rPr>
            </w:pPr>
          </w:p>
        </w:tc>
        <w:tc>
          <w:tcPr>
            <w:tcW w:w="1471" w:type="dxa"/>
            <w:vAlign w:val="center"/>
          </w:tcPr>
          <w:p w14:paraId="0062160B" w14:textId="77777777" w:rsidR="002C1952" w:rsidRDefault="002C1952">
            <w:pPr>
              <w:keepNext/>
              <w:jc w:val="center"/>
              <w:rPr>
                <w:rFonts w:ascii="Cambria" w:eastAsia="Cambria" w:hAnsi="Cambria" w:cs="Cambria"/>
                <w:b/>
                <w:color w:val="000000"/>
                <w:u w:val="single"/>
              </w:rPr>
            </w:pPr>
          </w:p>
        </w:tc>
        <w:tc>
          <w:tcPr>
            <w:tcW w:w="3078" w:type="dxa"/>
            <w:vAlign w:val="center"/>
          </w:tcPr>
          <w:p w14:paraId="4DF45F44" w14:textId="77777777" w:rsidR="002C1952" w:rsidRDefault="002C1952">
            <w:pPr>
              <w:keepNext/>
              <w:jc w:val="center"/>
              <w:rPr>
                <w:rFonts w:ascii="Cambria" w:eastAsia="Cambria" w:hAnsi="Cambria" w:cs="Cambria"/>
                <w:color w:val="000000"/>
              </w:rPr>
            </w:pPr>
          </w:p>
        </w:tc>
        <w:tc>
          <w:tcPr>
            <w:tcW w:w="2250" w:type="dxa"/>
            <w:vAlign w:val="center"/>
          </w:tcPr>
          <w:p w14:paraId="32F7812E" w14:textId="77777777" w:rsidR="002C1952" w:rsidRDefault="002C1952">
            <w:pPr>
              <w:keepNext/>
              <w:jc w:val="center"/>
              <w:rPr>
                <w:rFonts w:ascii="Cambria" w:eastAsia="Cambria" w:hAnsi="Cambria" w:cs="Cambria"/>
                <w:b/>
                <w:color w:val="000000"/>
                <w:u w:val="single"/>
              </w:rPr>
            </w:pPr>
          </w:p>
        </w:tc>
      </w:tr>
      <w:tr w:rsidR="002C1952" w14:paraId="0E8FDF1E" w14:textId="77777777">
        <w:tc>
          <w:tcPr>
            <w:tcW w:w="2493" w:type="dxa"/>
            <w:vAlign w:val="center"/>
          </w:tcPr>
          <w:p w14:paraId="5E2CF538" w14:textId="77777777" w:rsidR="002C1952" w:rsidRDefault="002C1952">
            <w:pPr>
              <w:keepNext/>
              <w:jc w:val="center"/>
              <w:rPr>
                <w:rFonts w:ascii="Cambria" w:eastAsia="Cambria" w:hAnsi="Cambria" w:cs="Cambria"/>
                <w:b/>
                <w:color w:val="000000"/>
                <w:u w:val="single"/>
              </w:rPr>
            </w:pPr>
          </w:p>
        </w:tc>
        <w:tc>
          <w:tcPr>
            <w:tcW w:w="1471" w:type="dxa"/>
            <w:vAlign w:val="center"/>
          </w:tcPr>
          <w:p w14:paraId="7DC850DD" w14:textId="77777777" w:rsidR="002C1952" w:rsidRDefault="002C1952">
            <w:pPr>
              <w:keepNext/>
              <w:jc w:val="center"/>
              <w:rPr>
                <w:rFonts w:ascii="Cambria" w:eastAsia="Cambria" w:hAnsi="Cambria" w:cs="Cambria"/>
                <w:b/>
                <w:color w:val="000000"/>
                <w:u w:val="single"/>
              </w:rPr>
            </w:pPr>
          </w:p>
        </w:tc>
        <w:tc>
          <w:tcPr>
            <w:tcW w:w="3078" w:type="dxa"/>
            <w:vAlign w:val="center"/>
          </w:tcPr>
          <w:p w14:paraId="08D3213B" w14:textId="77777777" w:rsidR="002C1952" w:rsidRDefault="002C1952">
            <w:pPr>
              <w:keepNext/>
              <w:jc w:val="center"/>
              <w:rPr>
                <w:rFonts w:ascii="Cambria" w:eastAsia="Cambria" w:hAnsi="Cambria" w:cs="Cambria"/>
                <w:color w:val="000000"/>
              </w:rPr>
            </w:pPr>
          </w:p>
        </w:tc>
        <w:tc>
          <w:tcPr>
            <w:tcW w:w="2250" w:type="dxa"/>
            <w:vAlign w:val="center"/>
          </w:tcPr>
          <w:p w14:paraId="26AE7A20" w14:textId="77777777" w:rsidR="002C1952" w:rsidRDefault="002C1952">
            <w:pPr>
              <w:keepNext/>
              <w:jc w:val="center"/>
              <w:rPr>
                <w:rFonts w:ascii="Cambria" w:eastAsia="Cambria" w:hAnsi="Cambria" w:cs="Cambria"/>
                <w:b/>
                <w:color w:val="000000"/>
                <w:u w:val="single"/>
              </w:rPr>
            </w:pPr>
          </w:p>
        </w:tc>
      </w:tr>
    </w:tbl>
    <w:p w14:paraId="406F2BEF" w14:textId="77777777" w:rsidR="002C1952" w:rsidRDefault="002C1952">
      <w:pPr>
        <w:rPr>
          <w:b/>
          <w:sz w:val="24"/>
          <w:szCs w:val="24"/>
          <w:u w:val="single"/>
        </w:rPr>
      </w:pPr>
    </w:p>
    <w:p w14:paraId="03F545D9" w14:textId="77777777" w:rsidR="002C1952" w:rsidRDefault="001F5A78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  <w:u w:val="single"/>
        </w:rPr>
      </w:pPr>
      <w:r>
        <w:rPr>
          <w:b/>
          <w:color w:val="000000"/>
          <w:sz w:val="24"/>
          <w:szCs w:val="24"/>
          <w:u w:val="single"/>
        </w:rPr>
        <w:t xml:space="preserve">Apport financier du porteur de projet </w:t>
      </w:r>
    </w:p>
    <w:p w14:paraId="73853706" w14:textId="77777777" w:rsidR="002C1952" w:rsidRDefault="001F5A78">
      <w:pPr>
        <w:spacing w:before="280" w:after="120"/>
        <w:rPr>
          <w:sz w:val="24"/>
          <w:szCs w:val="24"/>
        </w:rPr>
      </w:pPr>
      <w:r>
        <w:rPr>
          <w:sz w:val="24"/>
          <w:szCs w:val="24"/>
        </w:rPr>
        <w:t xml:space="preserve">Estimer la contribution financière de l’organisme porteur de projet. </w:t>
      </w:r>
    </w:p>
    <w:tbl>
      <w:tblPr>
        <w:tblStyle w:val="a0"/>
        <w:tblW w:w="905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018"/>
        <w:gridCol w:w="3019"/>
        <w:gridCol w:w="3019"/>
      </w:tblGrid>
      <w:tr w:rsidR="002C1952" w14:paraId="55437EF0" w14:textId="77777777">
        <w:trPr>
          <w:cantSplit/>
        </w:trPr>
        <w:tc>
          <w:tcPr>
            <w:tcW w:w="3018" w:type="dxa"/>
            <w:shd w:val="clear" w:color="auto" w:fill="0070C0"/>
            <w:vAlign w:val="center"/>
          </w:tcPr>
          <w:p w14:paraId="589CCCED" w14:textId="77777777" w:rsidR="002C1952" w:rsidRDefault="001F5A78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color w:val="FFFFFF"/>
                <w:sz w:val="22"/>
                <w:szCs w:val="22"/>
              </w:rPr>
            </w:pPr>
            <w:r>
              <w:rPr>
                <w:color w:val="FFFFFF"/>
                <w:sz w:val="22"/>
                <w:szCs w:val="22"/>
              </w:rPr>
              <w:t>Nature de l’apport</w:t>
            </w:r>
          </w:p>
        </w:tc>
        <w:tc>
          <w:tcPr>
            <w:tcW w:w="3019" w:type="dxa"/>
            <w:shd w:val="clear" w:color="auto" w:fill="0070C0"/>
            <w:vAlign w:val="center"/>
          </w:tcPr>
          <w:p w14:paraId="126E81BB" w14:textId="77777777" w:rsidR="002C1952" w:rsidRDefault="001F5A78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color w:val="FFFFFF"/>
                <w:sz w:val="22"/>
                <w:szCs w:val="22"/>
              </w:rPr>
            </w:pPr>
            <w:r>
              <w:rPr>
                <w:color w:val="FFFFFF"/>
                <w:sz w:val="22"/>
                <w:szCs w:val="22"/>
              </w:rPr>
              <w:t>Description</w:t>
            </w:r>
          </w:p>
        </w:tc>
        <w:tc>
          <w:tcPr>
            <w:tcW w:w="3019" w:type="dxa"/>
            <w:shd w:val="clear" w:color="auto" w:fill="0070C0"/>
            <w:vAlign w:val="center"/>
          </w:tcPr>
          <w:p w14:paraId="3473B069" w14:textId="77777777" w:rsidR="002C1952" w:rsidRDefault="001F5A78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color w:val="FFFFFF"/>
                <w:sz w:val="22"/>
                <w:szCs w:val="22"/>
              </w:rPr>
            </w:pPr>
            <w:r>
              <w:rPr>
                <w:color w:val="FFFFFF"/>
                <w:sz w:val="22"/>
                <w:szCs w:val="22"/>
              </w:rPr>
              <w:t>Montant (€)</w:t>
            </w:r>
          </w:p>
        </w:tc>
      </w:tr>
      <w:tr w:rsidR="002C1952" w14:paraId="55CE00BF" w14:textId="77777777">
        <w:trPr>
          <w:cantSplit/>
        </w:trPr>
        <w:tc>
          <w:tcPr>
            <w:tcW w:w="3018" w:type="dxa"/>
            <w:vAlign w:val="center"/>
          </w:tcPr>
          <w:p w14:paraId="1969B261" w14:textId="77777777" w:rsidR="002C1952" w:rsidRDefault="002C1952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019" w:type="dxa"/>
            <w:vAlign w:val="center"/>
          </w:tcPr>
          <w:p w14:paraId="06ECEA04" w14:textId="77777777" w:rsidR="002C1952" w:rsidRDefault="002C1952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019" w:type="dxa"/>
            <w:vAlign w:val="center"/>
          </w:tcPr>
          <w:p w14:paraId="49DA4676" w14:textId="77777777" w:rsidR="002C1952" w:rsidRDefault="002C1952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C1952" w14:paraId="2D0E46EA" w14:textId="77777777">
        <w:trPr>
          <w:cantSplit/>
        </w:trPr>
        <w:tc>
          <w:tcPr>
            <w:tcW w:w="3018" w:type="dxa"/>
            <w:vAlign w:val="center"/>
          </w:tcPr>
          <w:p w14:paraId="5AFF7E18" w14:textId="77777777" w:rsidR="002C1952" w:rsidRDefault="002C1952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019" w:type="dxa"/>
            <w:vAlign w:val="center"/>
          </w:tcPr>
          <w:p w14:paraId="16954F57" w14:textId="77777777" w:rsidR="002C1952" w:rsidRDefault="002C1952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019" w:type="dxa"/>
            <w:vAlign w:val="center"/>
          </w:tcPr>
          <w:p w14:paraId="7911704E" w14:textId="77777777" w:rsidR="002C1952" w:rsidRDefault="002C1952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C1952" w14:paraId="20953D5F" w14:textId="77777777">
        <w:trPr>
          <w:cantSplit/>
        </w:trPr>
        <w:tc>
          <w:tcPr>
            <w:tcW w:w="3018" w:type="dxa"/>
            <w:vAlign w:val="center"/>
          </w:tcPr>
          <w:p w14:paraId="17C34C1D" w14:textId="77777777" w:rsidR="002C1952" w:rsidRDefault="002C1952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019" w:type="dxa"/>
            <w:vAlign w:val="center"/>
          </w:tcPr>
          <w:p w14:paraId="3A4BA47D" w14:textId="77777777" w:rsidR="002C1952" w:rsidRDefault="002C1952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019" w:type="dxa"/>
            <w:vAlign w:val="center"/>
          </w:tcPr>
          <w:p w14:paraId="02F232D8" w14:textId="77777777" w:rsidR="002C1952" w:rsidRDefault="002C1952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C1952" w14:paraId="28E995B7" w14:textId="77777777">
        <w:trPr>
          <w:cantSplit/>
        </w:trPr>
        <w:tc>
          <w:tcPr>
            <w:tcW w:w="3018" w:type="dxa"/>
            <w:vAlign w:val="center"/>
          </w:tcPr>
          <w:p w14:paraId="18602222" w14:textId="77777777" w:rsidR="002C1952" w:rsidRDefault="002C1952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019" w:type="dxa"/>
            <w:vAlign w:val="center"/>
          </w:tcPr>
          <w:p w14:paraId="3B0A3ACF" w14:textId="77777777" w:rsidR="002C1952" w:rsidRDefault="002C1952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019" w:type="dxa"/>
            <w:vAlign w:val="center"/>
          </w:tcPr>
          <w:p w14:paraId="127EE37B" w14:textId="77777777" w:rsidR="002C1952" w:rsidRDefault="002C1952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C1952" w14:paraId="64632532" w14:textId="77777777">
        <w:trPr>
          <w:cantSplit/>
        </w:trPr>
        <w:tc>
          <w:tcPr>
            <w:tcW w:w="3018" w:type="dxa"/>
            <w:vAlign w:val="center"/>
          </w:tcPr>
          <w:p w14:paraId="24215184" w14:textId="77777777" w:rsidR="002C1952" w:rsidRDefault="002C1952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019" w:type="dxa"/>
            <w:vAlign w:val="center"/>
          </w:tcPr>
          <w:p w14:paraId="2D410C19" w14:textId="77777777" w:rsidR="002C1952" w:rsidRDefault="002C1952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019" w:type="dxa"/>
            <w:vAlign w:val="center"/>
          </w:tcPr>
          <w:p w14:paraId="3379D813" w14:textId="77777777" w:rsidR="002C1952" w:rsidRDefault="002C1952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C1952" w14:paraId="17BE6483" w14:textId="77777777">
        <w:trPr>
          <w:cantSplit/>
        </w:trPr>
        <w:tc>
          <w:tcPr>
            <w:tcW w:w="3018" w:type="dxa"/>
            <w:vAlign w:val="center"/>
          </w:tcPr>
          <w:p w14:paraId="4A96D644" w14:textId="77777777" w:rsidR="002C1952" w:rsidRDefault="002C1952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019" w:type="dxa"/>
            <w:vAlign w:val="center"/>
          </w:tcPr>
          <w:p w14:paraId="17A6C626" w14:textId="77777777" w:rsidR="002C1952" w:rsidRDefault="002C1952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019" w:type="dxa"/>
            <w:vAlign w:val="center"/>
          </w:tcPr>
          <w:p w14:paraId="740C524E" w14:textId="77777777" w:rsidR="002C1952" w:rsidRDefault="002C1952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14:paraId="7E22B7E6" w14:textId="77777777" w:rsidR="002C1952" w:rsidRDefault="002C1952">
      <w:pPr>
        <w:rPr>
          <w:b/>
          <w:sz w:val="24"/>
          <w:szCs w:val="24"/>
          <w:u w:val="single"/>
        </w:rPr>
      </w:pPr>
    </w:p>
    <w:p w14:paraId="14F5E93E" w14:textId="77777777" w:rsidR="002C1952" w:rsidRDefault="001F5A78">
      <w:pPr>
        <w:numPr>
          <w:ilvl w:val="6"/>
          <w:numId w:val="1"/>
        </w:numPr>
        <w:pBdr>
          <w:top w:val="nil"/>
          <w:left w:val="nil"/>
          <w:bottom w:val="nil"/>
          <w:right w:val="nil"/>
          <w:between w:val="nil"/>
        </w:pBdr>
        <w:ind w:left="426"/>
        <w:rPr>
          <w:b/>
          <w:color w:val="000000"/>
          <w:sz w:val="24"/>
          <w:szCs w:val="24"/>
          <w:u w:val="single"/>
        </w:rPr>
      </w:pPr>
      <w:r>
        <w:rPr>
          <w:b/>
          <w:color w:val="000000"/>
          <w:sz w:val="24"/>
          <w:szCs w:val="24"/>
          <w:u w:val="single"/>
        </w:rPr>
        <w:t xml:space="preserve">Priorisation et signature de la direction </w:t>
      </w:r>
    </w:p>
    <w:p w14:paraId="3901BE93" w14:textId="7898C46E" w:rsidR="002C1952" w:rsidRDefault="001F5A78">
      <w:pPr>
        <w:rPr>
          <w:sz w:val="24"/>
          <w:szCs w:val="24"/>
        </w:rPr>
      </w:pPr>
      <w:r>
        <w:rPr>
          <w:sz w:val="24"/>
          <w:szCs w:val="24"/>
        </w:rPr>
        <w:t>Avis de la direction et classement (dans le cas où plusieurs dossiers sont déposés par des porteurs d’un même organisme)</w:t>
      </w:r>
      <w:r w:rsidR="00D1712E">
        <w:rPr>
          <w:sz w:val="24"/>
          <w:szCs w:val="24"/>
        </w:rPr>
        <w:t>.</w:t>
      </w:r>
    </w:p>
    <w:p w14:paraId="12F8D915" w14:textId="77777777" w:rsidR="002C1952" w:rsidRDefault="002C1952"/>
    <w:p w14:paraId="6FACBFA3" w14:textId="77777777" w:rsidR="002C1952" w:rsidRDefault="001F5A78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Classement du projet par la direction : </w:t>
      </w:r>
    </w:p>
    <w:p w14:paraId="5140B538" w14:textId="77777777" w:rsidR="002C1952" w:rsidRDefault="002C1952">
      <w:pPr>
        <w:rPr>
          <w:sz w:val="24"/>
          <w:szCs w:val="24"/>
        </w:rPr>
      </w:pPr>
    </w:p>
    <w:p w14:paraId="3A74F97D" w14:textId="77777777" w:rsidR="002C1952" w:rsidRDefault="001F5A78">
      <w:pPr>
        <w:rPr>
          <w:sz w:val="24"/>
          <w:szCs w:val="24"/>
        </w:rPr>
      </w:pPr>
      <w:r>
        <w:rPr>
          <w:sz w:val="24"/>
          <w:szCs w:val="24"/>
        </w:rPr>
        <w:t>Signature de la direction :</w:t>
      </w:r>
    </w:p>
    <w:p w14:paraId="34940993" w14:textId="77777777" w:rsidR="002C1952" w:rsidRDefault="002C1952"/>
    <w:p w14:paraId="2E402C16" w14:textId="77777777" w:rsidR="002C1952" w:rsidRDefault="002C1952"/>
    <w:p w14:paraId="6EE8201B" w14:textId="77777777" w:rsidR="002C1952" w:rsidRDefault="002C1952"/>
    <w:p w14:paraId="5A249D06" w14:textId="77777777" w:rsidR="002C1952" w:rsidRDefault="002C1952"/>
    <w:p w14:paraId="49A8DAB4" w14:textId="77777777" w:rsidR="002C1952" w:rsidRDefault="002C1952">
      <w:pPr>
        <w:rPr>
          <w:b/>
          <w:sz w:val="24"/>
          <w:szCs w:val="24"/>
          <w:u w:val="single"/>
        </w:rPr>
      </w:pPr>
    </w:p>
    <w:sectPr w:rsidR="002C1952">
      <w:headerReference w:type="default" r:id="rId12"/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78215B" w14:textId="77777777" w:rsidR="00E91CD6" w:rsidRDefault="00E91CD6">
      <w:pPr>
        <w:spacing w:after="0" w:line="240" w:lineRule="auto"/>
      </w:pPr>
      <w:r>
        <w:separator/>
      </w:r>
    </w:p>
  </w:endnote>
  <w:endnote w:type="continuationSeparator" w:id="0">
    <w:p w14:paraId="18C9DB9A" w14:textId="77777777" w:rsidR="00E91CD6" w:rsidRDefault="00E91C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558708" w14:textId="77777777" w:rsidR="00E91CD6" w:rsidRDefault="00E91CD6">
      <w:pPr>
        <w:spacing w:after="0" w:line="240" w:lineRule="auto"/>
      </w:pPr>
      <w:r>
        <w:separator/>
      </w:r>
    </w:p>
  </w:footnote>
  <w:footnote w:type="continuationSeparator" w:id="0">
    <w:p w14:paraId="62324142" w14:textId="77777777" w:rsidR="00E91CD6" w:rsidRDefault="00E91CD6">
      <w:pPr>
        <w:spacing w:after="0" w:line="240" w:lineRule="auto"/>
      </w:pPr>
      <w:r>
        <w:continuationSeparator/>
      </w:r>
    </w:p>
  </w:footnote>
  <w:footnote w:id="1">
    <w:p w14:paraId="40C1759E" w14:textId="77777777" w:rsidR="002C1952" w:rsidRDefault="001F5A7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vertAlign w:val="superscript"/>
        </w:rPr>
        <w:footnoteRef/>
      </w:r>
      <w:r>
        <w:rPr>
          <w:color w:val="000000"/>
        </w:rPr>
        <w:t xml:space="preserve"> </w:t>
      </w:r>
      <w:hyperlink r:id="rId1">
        <w:r>
          <w:rPr>
            <w:color w:val="0000FF"/>
            <w:u w:val="single"/>
          </w:rPr>
          <w:t>https://www.vie-publique.fr/fiches/19604-quest-ce-quune-collectivite-territoriale-ou-collectivite-locale</w:t>
        </w:r>
      </w:hyperlink>
    </w:p>
  </w:footnote>
  <w:footnote w:id="2">
    <w:p w14:paraId="58CA107A" w14:textId="77777777" w:rsidR="002C1952" w:rsidRDefault="001F5A7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vertAlign w:val="superscript"/>
        </w:rPr>
        <w:footnoteRef/>
      </w:r>
      <w:r>
        <w:rPr>
          <w:color w:val="000000"/>
        </w:rPr>
        <w:t xml:space="preserve"> </w:t>
      </w:r>
      <w:hyperlink r:id="rId2">
        <w:r>
          <w:rPr>
            <w:color w:val="0000FF"/>
            <w:u w:val="single"/>
          </w:rPr>
          <w:t>https://www.insee.fr/fr/metadonnees/definition/c1353</w:t>
        </w:r>
      </w:hyperlink>
      <w:r>
        <w:rPr>
          <w:rFonts w:ascii="Courier New" w:eastAsia="Courier New" w:hAnsi="Courier New" w:cs="Courier New"/>
          <w:color w:val="000000"/>
        </w:rPr>
        <w:t> </w:t>
      </w:r>
    </w:p>
  </w:footnote>
  <w:footnote w:id="3">
    <w:p w14:paraId="5AE70F9B" w14:textId="77777777" w:rsidR="002C1952" w:rsidRDefault="001F5A78">
      <w:pPr>
        <w:spacing w:after="0" w:line="240" w:lineRule="auto"/>
        <w:jc w:val="both"/>
      </w:pPr>
      <w:r>
        <w:rPr>
          <w:vertAlign w:val="superscript"/>
        </w:rPr>
        <w:footnoteRef/>
      </w:r>
      <w:r>
        <w:t xml:space="preserve"> Les membres du comité de structuration sont : les co-porteurs scientifiques du CPER ECRIN, la directrice de la MESHS, un.e représentant.e de la Boutique des Sciences, un.e représentant.e de la chaire socio-économie des communs du Clersé, un.e représentant.e du CERDD et un.e représentant.e de la Direction régionale du service médical Hauts-de-France (service gestion des risques de l’Assurance Maladie).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8FB477" w14:textId="77777777" w:rsidR="002C1952" w:rsidRDefault="001F5A78">
    <w:r>
      <w:rPr>
        <w:noProof/>
      </w:rPr>
      <w:drawing>
        <wp:inline distT="114300" distB="114300" distL="114300" distR="114300" wp14:anchorId="04E29933" wp14:editId="041BFCE4">
          <wp:extent cx="1752917" cy="659354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52917" cy="65935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A64B1C"/>
    <w:multiLevelType w:val="multilevel"/>
    <w:tmpl w:val="83BEB10C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7EB3A2E"/>
    <w:multiLevelType w:val="multilevel"/>
    <w:tmpl w:val="4AF4C584"/>
    <w:lvl w:ilvl="0">
      <w:start w:val="4"/>
      <w:numFmt w:val="decimal"/>
      <w:lvlText w:val="%1"/>
      <w:lvlJc w:val="left"/>
      <w:pPr>
        <w:ind w:left="360" w:hanging="360"/>
      </w:pPr>
      <w:rPr>
        <w:color w:val="000000"/>
      </w:rPr>
    </w:lvl>
    <w:lvl w:ilvl="1">
      <w:start w:val="1"/>
      <w:numFmt w:val="decimal"/>
      <w:lvlText w:val="%1.%2"/>
      <w:lvlJc w:val="left"/>
      <w:pPr>
        <w:ind w:left="720" w:hanging="360"/>
      </w:pPr>
      <w:rPr>
        <w:color w:val="00000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color w:val="00000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color w:val="00000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color w:val="00000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color w:val="00000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color w:val="000000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color w:val="00000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color w:val="000000"/>
      </w:rPr>
    </w:lvl>
  </w:abstractNum>
  <w:abstractNum w:abstractNumId="2" w15:restartNumberingAfterBreak="0">
    <w:nsid w:val="30765466"/>
    <w:multiLevelType w:val="multilevel"/>
    <w:tmpl w:val="0B9A82EE"/>
    <w:lvl w:ilvl="0">
      <w:start w:val="1"/>
      <w:numFmt w:val="lowerRoman"/>
      <w:lvlText w:val="%1)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b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8B0130"/>
    <w:multiLevelType w:val="multilevel"/>
    <w:tmpl w:val="99224456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4" w15:restartNumberingAfterBreak="0">
    <w:nsid w:val="49C96E64"/>
    <w:multiLevelType w:val="multilevel"/>
    <w:tmpl w:val="8E5609E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4DC37ED8"/>
    <w:multiLevelType w:val="multilevel"/>
    <w:tmpl w:val="D38C1F96"/>
    <w:lvl w:ilvl="0">
      <w:start w:val="1"/>
      <w:numFmt w:val="bullet"/>
      <w:lvlText w:val="●"/>
      <w:lvlJc w:val="left"/>
      <w:pPr>
        <w:ind w:left="7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1952"/>
    <w:rsid w:val="00051923"/>
    <w:rsid w:val="0007101B"/>
    <w:rsid w:val="00171186"/>
    <w:rsid w:val="001F5A78"/>
    <w:rsid w:val="00233C35"/>
    <w:rsid w:val="00262E11"/>
    <w:rsid w:val="002C1952"/>
    <w:rsid w:val="002D0C52"/>
    <w:rsid w:val="00494D95"/>
    <w:rsid w:val="006479C8"/>
    <w:rsid w:val="0098013D"/>
    <w:rsid w:val="00A34FA5"/>
    <w:rsid w:val="00A358D7"/>
    <w:rsid w:val="00BA1EE6"/>
    <w:rsid w:val="00D1712E"/>
    <w:rsid w:val="00E91CD6"/>
    <w:rsid w:val="00EF12BD"/>
    <w:rsid w:val="00FB4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21E3E"/>
  <w15:docId w15:val="{5BF75FE6-A6E4-48E8-B6A8-4C9744193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E77E6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66201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66201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link w:val="TitreCar"/>
    <w:uiPriority w:val="10"/>
    <w:qFormat/>
    <w:rsid w:val="00E77E6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aragraphedeliste">
    <w:name w:val="List Paragraph"/>
    <w:basedOn w:val="Normal"/>
    <w:uiPriority w:val="34"/>
    <w:qFormat/>
    <w:rsid w:val="00B22FC0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unhideWhenUsed/>
    <w:rsid w:val="00B22FC0"/>
    <w:pPr>
      <w:spacing w:after="0" w:line="240" w:lineRule="auto"/>
      <w:jc w:val="both"/>
    </w:pPr>
    <w:rPr>
      <w:rFonts w:eastAsiaTheme="minorEastAsia"/>
      <w:szCs w:val="24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B22FC0"/>
    <w:rPr>
      <w:rFonts w:eastAsiaTheme="minorEastAsia"/>
      <w:szCs w:val="24"/>
      <w:lang w:eastAsia="fr-FR"/>
    </w:rPr>
  </w:style>
  <w:style w:type="character" w:styleId="Appelnotedebasdep">
    <w:name w:val="footnote reference"/>
    <w:basedOn w:val="Policepardfaut"/>
    <w:uiPriority w:val="99"/>
    <w:unhideWhenUsed/>
    <w:rsid w:val="00B22FC0"/>
    <w:rPr>
      <w:vertAlign w:val="superscript"/>
    </w:rPr>
  </w:style>
  <w:style w:type="character" w:styleId="Lienhypertexte">
    <w:name w:val="Hyperlink"/>
    <w:basedOn w:val="Policepardfaut"/>
    <w:uiPriority w:val="99"/>
    <w:unhideWhenUsed/>
    <w:rsid w:val="00B22FC0"/>
    <w:rPr>
      <w:color w:val="0000FF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701D0F"/>
    <w:rPr>
      <w:color w:val="605E5C"/>
      <w:shd w:val="clear" w:color="auto" w:fill="E1DFDD"/>
    </w:rPr>
  </w:style>
  <w:style w:type="character" w:customStyle="1" w:styleId="TitreCar">
    <w:name w:val="Titre Car"/>
    <w:basedOn w:val="Policepardfaut"/>
    <w:link w:val="Titre"/>
    <w:uiPriority w:val="10"/>
    <w:rsid w:val="00E77E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En-tte">
    <w:name w:val="header"/>
    <w:basedOn w:val="Normal"/>
    <w:link w:val="En-tteCar"/>
    <w:uiPriority w:val="99"/>
    <w:unhideWhenUsed/>
    <w:rsid w:val="00E77E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77E6B"/>
  </w:style>
  <w:style w:type="paragraph" w:styleId="Pieddepage">
    <w:name w:val="footer"/>
    <w:basedOn w:val="Normal"/>
    <w:link w:val="PieddepageCar"/>
    <w:uiPriority w:val="99"/>
    <w:unhideWhenUsed/>
    <w:rsid w:val="00E77E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77E6B"/>
  </w:style>
  <w:style w:type="paragraph" w:styleId="Sansinterligne">
    <w:name w:val="No Spacing"/>
    <w:uiPriority w:val="1"/>
    <w:qFormat/>
    <w:rsid w:val="00E77E6B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E77E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66201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66201C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table" w:styleId="Grilledutableau">
    <w:name w:val="Table Grid"/>
    <w:basedOn w:val="TableauNormal"/>
    <w:uiPriority w:val="59"/>
    <w:rsid w:val="0066201C"/>
    <w:pPr>
      <w:spacing w:after="0" w:line="240" w:lineRule="auto"/>
    </w:pPr>
    <w:rPr>
      <w:rFonts w:eastAsia="MS Mincho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chercheparticipative.univ-lille.fr/programmes-et-demarch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nathalie.wierre@univ-lille.fr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nathalie.wierre@univ-lille.f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athalie.wierre@univ-lille.fr" TargetMode="Externa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insee.fr/fr/metadonnees/definition/c1353" TargetMode="External"/><Relationship Id="rId1" Type="http://schemas.openxmlformats.org/officeDocument/2006/relationships/hyperlink" Target="https://www.vie-publique.fr/fiches/19604-quest-ce-quune-collectivite-territoriale-ou-collectivite-local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eghUwqtbKbcszDgBgcGvL0ljfwQ==">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1341</Words>
  <Characters>7378</Characters>
  <Application>Microsoft Office Word</Application>
  <DocSecurity>0</DocSecurity>
  <Lines>61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nathalie_w</dc:creator>
  <cp:lastModifiedBy>nathalie_w</cp:lastModifiedBy>
  <cp:revision>3</cp:revision>
  <cp:lastPrinted>2025-01-14T10:38:00Z</cp:lastPrinted>
  <dcterms:created xsi:type="dcterms:W3CDTF">2025-01-17T11:08:00Z</dcterms:created>
  <dcterms:modified xsi:type="dcterms:W3CDTF">2025-01-22T08:57:00Z</dcterms:modified>
</cp:coreProperties>
</file>