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043A" w14:textId="065C8331"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bookmarkStart w:id="0" w:name="_GoBack"/>
      <w:bookmarkEnd w:id="0"/>
      <w:r w:rsidRPr="00F94EAD">
        <w:rPr>
          <w:rFonts w:ascii="Times New Roman" w:eastAsia="Times New Roman" w:hAnsi="Times New Roman" w:cs="Times New Roman"/>
          <w:noProof/>
          <w:sz w:val="24"/>
          <w:szCs w:val="24"/>
          <w:lang w:eastAsia="fr-FR"/>
        </w:rPr>
        <w:drawing>
          <wp:inline distT="0" distB="0" distL="0" distR="0" wp14:anchorId="0AE90925" wp14:editId="2910839F">
            <wp:extent cx="1580083" cy="715599"/>
            <wp:effectExtent l="0" t="0" r="1270" b="8890"/>
            <wp:docPr id="3" name="Image 3" descr="RÃ©sultat de recherche d'images pour &quot;logo af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afd&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402" cy="721631"/>
                    </a:xfrm>
                    <a:prstGeom prst="rect">
                      <a:avLst/>
                    </a:prstGeom>
                    <a:noFill/>
                    <a:ln>
                      <a:noFill/>
                    </a:ln>
                  </pic:spPr>
                </pic:pic>
              </a:graphicData>
            </a:graphic>
          </wp:inline>
        </w:drawing>
      </w:r>
    </w:p>
    <w:p w14:paraId="03772A26" w14:textId="77777777" w:rsidR="00F94EAD" w:rsidRPr="00F94EAD" w:rsidRDefault="00F94EAD" w:rsidP="00F94EAD">
      <w:pPr>
        <w:spacing w:after="0" w:line="240" w:lineRule="auto"/>
        <w:jc w:val="both"/>
        <w:rPr>
          <w:rFonts w:ascii="Times New Roman" w:eastAsia="Times New Roman" w:hAnsi="Times New Roman" w:cs="Times New Roman"/>
          <w:b/>
          <w:sz w:val="20"/>
          <w:szCs w:val="20"/>
          <w:lang w:eastAsia="fr-FR"/>
        </w:rPr>
      </w:pPr>
    </w:p>
    <w:p w14:paraId="0D9897B3" w14:textId="3F7B89CE" w:rsidR="00F94EAD" w:rsidRPr="00F94EAD" w:rsidRDefault="00F94EAD" w:rsidP="00F94E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F94EAD">
        <w:rPr>
          <w:rFonts w:ascii="Times New Roman" w:eastAsia="Times New Roman" w:hAnsi="Times New Roman" w:cs="Times New Roman"/>
          <w:b/>
          <w:sz w:val="28"/>
          <w:szCs w:val="28"/>
          <w:lang w:eastAsia="fr-FR"/>
        </w:rPr>
        <w:t xml:space="preserve">FISONG </w:t>
      </w:r>
      <w:r>
        <w:rPr>
          <w:rFonts w:ascii="Times New Roman" w:eastAsia="Times New Roman" w:hAnsi="Times New Roman" w:cs="Times New Roman"/>
          <w:b/>
          <w:sz w:val="28"/>
          <w:szCs w:val="28"/>
          <w:lang w:eastAsia="fr-FR"/>
        </w:rPr>
        <w:t>2021</w:t>
      </w:r>
      <w:r w:rsidRPr="00F94EAD">
        <w:rPr>
          <w:rFonts w:ascii="Times New Roman" w:eastAsia="Times New Roman" w:hAnsi="Times New Roman" w:cs="Times New Roman"/>
          <w:b/>
          <w:sz w:val="28"/>
          <w:szCs w:val="28"/>
          <w:lang w:eastAsia="fr-FR"/>
        </w:rPr>
        <w:t xml:space="preserve"> </w:t>
      </w:r>
      <w:r>
        <w:rPr>
          <w:rFonts w:ascii="Times New Roman" w:eastAsia="Times New Roman" w:hAnsi="Times New Roman" w:cs="Times New Roman"/>
          <w:b/>
          <w:sz w:val="28"/>
          <w:szCs w:val="28"/>
          <w:lang w:eastAsia="fr-FR"/>
        </w:rPr>
        <w:t>–</w:t>
      </w:r>
      <w:r w:rsidRPr="00F94EAD">
        <w:rPr>
          <w:rFonts w:ascii="Times New Roman" w:eastAsia="Times New Roman" w:hAnsi="Times New Roman" w:cs="Times New Roman"/>
          <w:b/>
          <w:sz w:val="28"/>
          <w:szCs w:val="28"/>
          <w:lang w:eastAsia="fr-FR"/>
        </w:rPr>
        <w:t xml:space="preserve"> </w:t>
      </w:r>
      <w:r>
        <w:rPr>
          <w:rFonts w:ascii="Times New Roman" w:eastAsia="Times New Roman" w:hAnsi="Times New Roman" w:cs="Times New Roman"/>
          <w:b/>
          <w:sz w:val="28"/>
          <w:szCs w:val="28"/>
          <w:lang w:eastAsia="fr-FR"/>
        </w:rPr>
        <w:t>Inclusion financière</w:t>
      </w:r>
      <w:r w:rsidRPr="00F94EAD">
        <w:rPr>
          <w:rFonts w:ascii="Times New Roman" w:eastAsia="Times New Roman" w:hAnsi="Times New Roman" w:cs="Times New Roman"/>
          <w:b/>
          <w:sz w:val="28"/>
          <w:szCs w:val="28"/>
          <w:lang w:eastAsia="fr-FR"/>
        </w:rPr>
        <w:t xml:space="preserve"> </w:t>
      </w:r>
      <w:r>
        <w:rPr>
          <w:rFonts w:ascii="Times New Roman" w:eastAsia="Times New Roman" w:hAnsi="Times New Roman" w:cs="Times New Roman"/>
          <w:b/>
          <w:sz w:val="28"/>
          <w:szCs w:val="28"/>
          <w:lang w:eastAsia="fr-FR"/>
        </w:rPr>
        <w:t>en zones vulnérables</w:t>
      </w:r>
    </w:p>
    <w:p w14:paraId="320061BB" w14:textId="77777777" w:rsidR="00F94EAD" w:rsidRPr="00F94EAD" w:rsidRDefault="00F94EAD" w:rsidP="00F94E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0"/>
          <w:szCs w:val="20"/>
          <w:lang w:eastAsia="fr-FR"/>
        </w:rPr>
      </w:pPr>
    </w:p>
    <w:p w14:paraId="53B20325" w14:textId="71E9E536" w:rsidR="00F94EAD" w:rsidRPr="00F94EAD" w:rsidRDefault="00F94EAD" w:rsidP="00F94E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F94EAD">
        <w:rPr>
          <w:rFonts w:ascii="Times New Roman" w:eastAsia="Times New Roman" w:hAnsi="Times New Roman" w:cs="Times New Roman"/>
          <w:b/>
          <w:sz w:val="28"/>
          <w:szCs w:val="28"/>
          <w:lang w:eastAsia="fr-FR"/>
        </w:rPr>
        <w:t xml:space="preserve">« Renforcer </w:t>
      </w:r>
      <w:r>
        <w:rPr>
          <w:rFonts w:ascii="Times New Roman" w:eastAsia="Times New Roman" w:hAnsi="Times New Roman" w:cs="Times New Roman"/>
          <w:b/>
          <w:sz w:val="28"/>
          <w:szCs w:val="28"/>
          <w:lang w:eastAsia="fr-FR"/>
        </w:rPr>
        <w:t>l’i</w:t>
      </w:r>
      <w:r w:rsidRPr="00F94EAD">
        <w:rPr>
          <w:rFonts w:ascii="Times New Roman" w:eastAsia="Times New Roman" w:hAnsi="Times New Roman" w:cs="Times New Roman"/>
          <w:b/>
          <w:sz w:val="28"/>
          <w:szCs w:val="28"/>
          <w:lang w:eastAsia="fr-FR"/>
        </w:rPr>
        <w:t>nclusion financière des réfugié</w:t>
      </w:r>
      <w:r w:rsidR="00483364">
        <w:rPr>
          <w:rFonts w:ascii="Times New Roman" w:eastAsia="Times New Roman" w:hAnsi="Times New Roman" w:cs="Times New Roman"/>
          <w:b/>
          <w:sz w:val="28"/>
          <w:szCs w:val="28"/>
          <w:lang w:eastAsia="fr-FR"/>
        </w:rPr>
        <w:t>-e-</w:t>
      </w:r>
      <w:r w:rsidRPr="00F94EAD">
        <w:rPr>
          <w:rFonts w:ascii="Times New Roman" w:eastAsia="Times New Roman" w:hAnsi="Times New Roman" w:cs="Times New Roman"/>
          <w:b/>
          <w:sz w:val="28"/>
          <w:szCs w:val="28"/>
          <w:lang w:eastAsia="fr-FR"/>
        </w:rPr>
        <w:t>s, déplacé</w:t>
      </w:r>
      <w:r w:rsidR="00483364">
        <w:rPr>
          <w:rFonts w:ascii="Times New Roman" w:eastAsia="Times New Roman" w:hAnsi="Times New Roman" w:cs="Times New Roman"/>
          <w:b/>
          <w:sz w:val="28"/>
          <w:szCs w:val="28"/>
          <w:lang w:eastAsia="fr-FR"/>
        </w:rPr>
        <w:t>-e-</w:t>
      </w:r>
      <w:r w:rsidRPr="00F94EAD">
        <w:rPr>
          <w:rFonts w:ascii="Times New Roman" w:eastAsia="Times New Roman" w:hAnsi="Times New Roman" w:cs="Times New Roman"/>
          <w:b/>
          <w:sz w:val="28"/>
          <w:szCs w:val="28"/>
          <w:lang w:eastAsia="fr-FR"/>
        </w:rPr>
        <w:t>s ou migrant</w:t>
      </w:r>
      <w:r w:rsidR="00483364">
        <w:rPr>
          <w:rFonts w:ascii="Times New Roman" w:eastAsia="Times New Roman" w:hAnsi="Times New Roman" w:cs="Times New Roman"/>
          <w:b/>
          <w:sz w:val="28"/>
          <w:szCs w:val="28"/>
          <w:lang w:eastAsia="fr-FR"/>
        </w:rPr>
        <w:t>-e-</w:t>
      </w:r>
      <w:r w:rsidRPr="00F94EAD">
        <w:rPr>
          <w:rFonts w:ascii="Times New Roman" w:eastAsia="Times New Roman" w:hAnsi="Times New Roman" w:cs="Times New Roman"/>
          <w:b/>
          <w:sz w:val="28"/>
          <w:szCs w:val="28"/>
          <w:lang w:eastAsia="fr-FR"/>
        </w:rPr>
        <w:t>s temporaires intracontinentaux</w:t>
      </w:r>
      <w:r w:rsidR="00483364">
        <w:rPr>
          <w:rFonts w:ascii="Times New Roman" w:eastAsia="Times New Roman" w:hAnsi="Times New Roman" w:cs="Times New Roman"/>
          <w:b/>
          <w:sz w:val="28"/>
          <w:szCs w:val="28"/>
          <w:lang w:eastAsia="fr-FR"/>
        </w:rPr>
        <w:t> </w:t>
      </w:r>
      <w:r w:rsidRPr="00F94EAD">
        <w:rPr>
          <w:rFonts w:ascii="Times New Roman" w:eastAsia="Times New Roman" w:hAnsi="Times New Roman" w:cs="Times New Roman"/>
          <w:b/>
          <w:sz w:val="28"/>
          <w:szCs w:val="28"/>
          <w:lang w:eastAsia="fr-FR"/>
        </w:rPr>
        <w:t>»</w:t>
      </w:r>
    </w:p>
    <w:p w14:paraId="6F2F95D4" w14:textId="77777777" w:rsidR="00F94EAD" w:rsidRPr="00F94EAD" w:rsidRDefault="00F94EAD" w:rsidP="00F94EA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p>
    <w:p w14:paraId="0F93DBBB"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36615632"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4F349E05"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309F0833" w14:textId="2A9D312E" w:rsidR="00F94EAD" w:rsidRPr="00F94EAD" w:rsidRDefault="00F94EAD" w:rsidP="00F94EAD">
      <w:pPr>
        <w:spacing w:after="0" w:line="240" w:lineRule="auto"/>
        <w:jc w:val="center"/>
        <w:rPr>
          <w:rFonts w:ascii="Arial" w:eastAsia="Times New Roman" w:hAnsi="Arial" w:cs="Arial"/>
          <w:sz w:val="25"/>
          <w:szCs w:val="25"/>
          <w:lang w:eastAsia="fr-FR"/>
        </w:rPr>
      </w:pPr>
      <w:r w:rsidRPr="00F94EAD">
        <w:rPr>
          <w:rFonts w:ascii="Arial" w:eastAsia="Times New Roman" w:hAnsi="Arial" w:cs="Arial"/>
          <w:b/>
          <w:color w:val="FF0000"/>
          <w:sz w:val="25"/>
          <w:szCs w:val="25"/>
          <w:lang w:eastAsia="fr-FR"/>
        </w:rPr>
        <w:t xml:space="preserve">Une réunion de concertation </w:t>
      </w:r>
      <w:r w:rsidR="001C0D2C">
        <w:rPr>
          <w:rFonts w:ascii="Arial" w:eastAsia="Times New Roman" w:hAnsi="Arial" w:cs="Arial"/>
          <w:b/>
          <w:color w:val="FF0000"/>
          <w:sz w:val="25"/>
          <w:szCs w:val="25"/>
          <w:lang w:eastAsia="fr-FR"/>
        </w:rPr>
        <w:t xml:space="preserve">avec les ONG </w:t>
      </w:r>
      <w:r w:rsidR="00850424">
        <w:rPr>
          <w:rFonts w:ascii="Arial" w:eastAsia="Times New Roman" w:hAnsi="Arial" w:cs="Arial"/>
          <w:b/>
          <w:color w:val="FF0000"/>
          <w:sz w:val="25"/>
          <w:szCs w:val="25"/>
          <w:lang w:eastAsia="fr-FR"/>
        </w:rPr>
        <w:t xml:space="preserve">sera organisée par </w:t>
      </w:r>
      <w:r w:rsidRPr="00F94EAD">
        <w:rPr>
          <w:rFonts w:ascii="Arial" w:eastAsia="Times New Roman" w:hAnsi="Arial" w:cs="Arial"/>
          <w:b/>
          <w:color w:val="FF0000"/>
          <w:sz w:val="25"/>
          <w:szCs w:val="25"/>
          <w:lang w:eastAsia="fr-FR"/>
        </w:rPr>
        <w:t xml:space="preserve">l’AFD </w:t>
      </w:r>
      <w:r w:rsidRPr="001C0D2C">
        <w:rPr>
          <w:rFonts w:ascii="Arial" w:eastAsia="Times New Roman" w:hAnsi="Arial" w:cs="Arial"/>
          <w:b/>
          <w:color w:val="FF0000"/>
          <w:sz w:val="25"/>
          <w:szCs w:val="25"/>
          <w:lang w:eastAsia="fr-FR"/>
        </w:rPr>
        <w:t xml:space="preserve">le </w:t>
      </w:r>
      <w:r w:rsidR="00965D55" w:rsidRPr="001C0D2C">
        <w:rPr>
          <w:rFonts w:ascii="Arial" w:eastAsia="Times New Roman" w:hAnsi="Arial" w:cs="Arial"/>
          <w:b/>
          <w:color w:val="FF0000"/>
          <w:sz w:val="25"/>
          <w:szCs w:val="25"/>
          <w:lang w:eastAsia="fr-FR"/>
        </w:rPr>
        <w:t>20 novembre 2020 à 10h0</w:t>
      </w:r>
      <w:r w:rsidRPr="001C0D2C">
        <w:rPr>
          <w:rFonts w:ascii="Arial" w:eastAsia="Times New Roman" w:hAnsi="Arial" w:cs="Arial"/>
          <w:b/>
          <w:color w:val="FF0000"/>
          <w:sz w:val="25"/>
          <w:szCs w:val="25"/>
          <w:lang w:eastAsia="fr-FR"/>
        </w:rPr>
        <w:t>0. I</w:t>
      </w:r>
      <w:r w:rsidRPr="00F94EAD">
        <w:rPr>
          <w:rFonts w:ascii="Arial" w:eastAsia="Times New Roman" w:hAnsi="Arial" w:cs="Arial"/>
          <w:b/>
          <w:color w:val="FF0000"/>
          <w:sz w:val="25"/>
          <w:szCs w:val="25"/>
          <w:lang w:eastAsia="fr-FR"/>
        </w:rPr>
        <w:t xml:space="preserve">nscription </w:t>
      </w:r>
      <w:r w:rsidR="00850424">
        <w:rPr>
          <w:rFonts w:ascii="Arial" w:eastAsia="Times New Roman" w:hAnsi="Arial" w:cs="Arial"/>
          <w:b/>
          <w:color w:val="FF0000"/>
          <w:sz w:val="25"/>
          <w:szCs w:val="25"/>
          <w:lang w:eastAsia="fr-FR"/>
        </w:rPr>
        <w:t xml:space="preserve">obligatoire </w:t>
      </w:r>
      <w:r w:rsidRPr="00F94EAD">
        <w:rPr>
          <w:rFonts w:ascii="Arial" w:eastAsia="Times New Roman" w:hAnsi="Arial" w:cs="Arial"/>
          <w:b/>
          <w:color w:val="FF0000"/>
          <w:sz w:val="25"/>
          <w:szCs w:val="25"/>
          <w:lang w:eastAsia="fr-FR"/>
        </w:rPr>
        <w:t xml:space="preserve">sur </w:t>
      </w:r>
      <w:hyperlink r:id="rId8" w:history="1">
        <w:r w:rsidRPr="00F94EAD">
          <w:rPr>
            <w:rFonts w:ascii="Arial" w:eastAsia="Times New Roman" w:hAnsi="Arial" w:cs="Arial"/>
            <w:color w:val="0000FF"/>
            <w:sz w:val="25"/>
            <w:szCs w:val="25"/>
            <w:u w:val="single"/>
            <w:lang w:eastAsia="fr-FR"/>
          </w:rPr>
          <w:t>fisong@afd.fr</w:t>
        </w:r>
      </w:hyperlink>
    </w:p>
    <w:p w14:paraId="600A52F5"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071D7752"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10773100"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479F86EB"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4E07CEDF"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1C981143"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10DAFF6D"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p>
    <w:p w14:paraId="3C85A209" w14:textId="77777777" w:rsidR="00F94EAD" w:rsidRPr="00F94EAD" w:rsidRDefault="00F94EAD" w:rsidP="00F94EAD">
      <w:pPr>
        <w:spacing w:after="0" w:line="240" w:lineRule="auto"/>
        <w:jc w:val="center"/>
        <w:rPr>
          <w:rFonts w:ascii="Times New Roman" w:eastAsia="Times New Roman" w:hAnsi="Times New Roman" w:cs="Times New Roman"/>
          <w:b/>
          <w:sz w:val="28"/>
          <w:szCs w:val="28"/>
          <w:lang w:eastAsia="fr-FR"/>
        </w:rPr>
      </w:pPr>
      <w:r w:rsidRPr="00F94EAD">
        <w:rPr>
          <w:rFonts w:ascii="Times New Roman" w:eastAsia="Times New Roman" w:hAnsi="Times New Roman" w:cs="Times New Roman"/>
          <w:b/>
          <w:sz w:val="28"/>
          <w:szCs w:val="28"/>
          <w:lang w:eastAsia="fr-FR"/>
        </w:rPr>
        <w:t>Note de cadrage provisoire</w:t>
      </w:r>
    </w:p>
    <w:p w14:paraId="6DA5F7E7"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13244172"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70EF74DF"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2D6393A3"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60239B2C"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5104C159"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3E7A4F6B"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75459EC6" w14:textId="77777777" w:rsidR="00F94EAD" w:rsidRPr="00F94EAD" w:rsidRDefault="00F94EAD" w:rsidP="00F94EAD">
      <w:pPr>
        <w:spacing w:after="0" w:line="240" w:lineRule="auto"/>
        <w:jc w:val="both"/>
        <w:rPr>
          <w:rFonts w:ascii="Times New Roman" w:eastAsia="Times New Roman" w:hAnsi="Times New Roman" w:cs="Times New Roman"/>
          <w:b/>
          <w:sz w:val="24"/>
          <w:szCs w:val="24"/>
          <w:lang w:eastAsia="fr-FR"/>
        </w:rPr>
      </w:pPr>
    </w:p>
    <w:p w14:paraId="609B3B44" w14:textId="77777777" w:rsidR="00BB3A6E" w:rsidRDefault="00F94EAD">
      <w:pPr>
        <w:rPr>
          <w:rFonts w:eastAsia="Times New Roman"/>
          <w:lang w:eastAsia="fr-FR"/>
        </w:rPr>
      </w:pPr>
      <w:r>
        <w:rPr>
          <w:rFonts w:eastAsia="Times New Roman"/>
          <w:lang w:eastAsia="fr-FR"/>
        </w:rPr>
        <w:br w:type="page"/>
      </w:r>
    </w:p>
    <w:sdt>
      <w:sdtPr>
        <w:rPr>
          <w:rFonts w:asciiTheme="minorHAnsi" w:eastAsiaTheme="minorHAnsi" w:hAnsiTheme="minorHAnsi" w:cstheme="minorBidi"/>
          <w:color w:val="auto"/>
          <w:sz w:val="22"/>
          <w:szCs w:val="22"/>
          <w:lang w:eastAsia="en-US"/>
        </w:rPr>
        <w:id w:val="-1218818350"/>
        <w:docPartObj>
          <w:docPartGallery w:val="Table of Contents"/>
          <w:docPartUnique/>
        </w:docPartObj>
      </w:sdtPr>
      <w:sdtEndPr>
        <w:rPr>
          <w:b/>
          <w:bCs/>
        </w:rPr>
      </w:sdtEndPr>
      <w:sdtContent>
        <w:p w14:paraId="3E3D8768" w14:textId="5EFB3EF2" w:rsidR="00BB3A6E" w:rsidRDefault="00BB3A6E">
          <w:pPr>
            <w:pStyle w:val="En-ttedetabledesmatires"/>
          </w:pPr>
          <w:r>
            <w:t>Table des matières</w:t>
          </w:r>
        </w:p>
        <w:p w14:paraId="02878477" w14:textId="67D4F036" w:rsidR="00BB3A6E" w:rsidRDefault="00BB3A6E">
          <w:pPr>
            <w:pStyle w:val="TM1"/>
            <w:rPr>
              <w:rFonts w:asciiTheme="minorHAnsi" w:eastAsiaTheme="minorEastAsia" w:hAnsiTheme="minorHAnsi" w:cstheme="minorBidi"/>
              <w:b w:val="0"/>
              <w:color w:val="auto"/>
              <w:spacing w:val="0"/>
              <w:sz w:val="22"/>
              <w:lang w:eastAsia="fr-FR"/>
            </w:rPr>
          </w:pPr>
          <w:r>
            <w:fldChar w:fldCharType="begin"/>
          </w:r>
          <w:r>
            <w:instrText xml:space="preserve"> TOC \o "1-3" \h \z \u </w:instrText>
          </w:r>
          <w:r>
            <w:fldChar w:fldCharType="separate"/>
          </w:r>
          <w:hyperlink w:anchor="_Toc55391554" w:history="1">
            <w:r w:rsidRPr="00865AE7">
              <w:rPr>
                <w:rStyle w:val="Lienhypertexte"/>
                <w:rFonts w:eastAsia="Times New Roman"/>
                <w:lang w:eastAsia="fr-FR"/>
              </w:rPr>
              <w:t>1. Rappel sur l’instrument FISONG</w:t>
            </w:r>
            <w:r>
              <w:rPr>
                <w:webHidden/>
              </w:rPr>
              <w:tab/>
            </w:r>
            <w:r>
              <w:rPr>
                <w:webHidden/>
              </w:rPr>
              <w:fldChar w:fldCharType="begin"/>
            </w:r>
            <w:r>
              <w:rPr>
                <w:webHidden/>
              </w:rPr>
              <w:instrText xml:space="preserve"> PAGEREF _Toc55391554 \h </w:instrText>
            </w:r>
            <w:r>
              <w:rPr>
                <w:webHidden/>
              </w:rPr>
            </w:r>
            <w:r>
              <w:rPr>
                <w:webHidden/>
              </w:rPr>
              <w:fldChar w:fldCharType="separate"/>
            </w:r>
            <w:r>
              <w:rPr>
                <w:webHidden/>
              </w:rPr>
              <w:t>3</w:t>
            </w:r>
            <w:r>
              <w:rPr>
                <w:webHidden/>
              </w:rPr>
              <w:fldChar w:fldCharType="end"/>
            </w:r>
          </w:hyperlink>
        </w:p>
        <w:p w14:paraId="23F186AC" w14:textId="06CBF836" w:rsidR="00BB3A6E" w:rsidRDefault="00914447">
          <w:pPr>
            <w:pStyle w:val="TM1"/>
            <w:rPr>
              <w:rFonts w:asciiTheme="minorHAnsi" w:eastAsiaTheme="minorEastAsia" w:hAnsiTheme="minorHAnsi" w:cstheme="minorBidi"/>
              <w:b w:val="0"/>
              <w:color w:val="auto"/>
              <w:spacing w:val="0"/>
              <w:sz w:val="22"/>
              <w:lang w:eastAsia="fr-FR"/>
            </w:rPr>
          </w:pPr>
          <w:hyperlink w:anchor="_Toc55391555" w:history="1">
            <w:r w:rsidR="00BB3A6E" w:rsidRPr="00865AE7">
              <w:rPr>
                <w:rStyle w:val="Lienhypertexte"/>
                <w:rFonts w:eastAsia="Times New Roman"/>
                <w:lang w:eastAsia="fr-FR"/>
              </w:rPr>
              <w:t>2. Cadrage général de l’appel à propositions FISONG 2021</w:t>
            </w:r>
            <w:r w:rsidR="00BB3A6E">
              <w:rPr>
                <w:webHidden/>
              </w:rPr>
              <w:tab/>
            </w:r>
            <w:r w:rsidR="00BB3A6E">
              <w:rPr>
                <w:webHidden/>
              </w:rPr>
              <w:fldChar w:fldCharType="begin"/>
            </w:r>
            <w:r w:rsidR="00BB3A6E">
              <w:rPr>
                <w:webHidden/>
              </w:rPr>
              <w:instrText xml:space="preserve"> PAGEREF _Toc55391555 \h </w:instrText>
            </w:r>
            <w:r w:rsidR="00BB3A6E">
              <w:rPr>
                <w:webHidden/>
              </w:rPr>
            </w:r>
            <w:r w:rsidR="00BB3A6E">
              <w:rPr>
                <w:webHidden/>
              </w:rPr>
              <w:fldChar w:fldCharType="separate"/>
            </w:r>
            <w:r w:rsidR="00BB3A6E">
              <w:rPr>
                <w:webHidden/>
              </w:rPr>
              <w:t>3</w:t>
            </w:r>
            <w:r w:rsidR="00BB3A6E">
              <w:rPr>
                <w:webHidden/>
              </w:rPr>
              <w:fldChar w:fldCharType="end"/>
            </w:r>
          </w:hyperlink>
        </w:p>
        <w:p w14:paraId="03C84C3B" w14:textId="50846506"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56" w:history="1">
            <w:r w:rsidR="00BB3A6E" w:rsidRPr="00865AE7">
              <w:rPr>
                <w:rStyle w:val="Lienhypertexte"/>
                <w:rFonts w:eastAsia="Times New Roman"/>
                <w:noProof/>
                <w:lang w:eastAsia="fr-FR"/>
              </w:rPr>
              <w:t>2.1. Caractérisation de la population cible et diversité des contextes d’intervention</w:t>
            </w:r>
            <w:r w:rsidR="00BB3A6E">
              <w:rPr>
                <w:noProof/>
                <w:webHidden/>
              </w:rPr>
              <w:tab/>
            </w:r>
            <w:r w:rsidR="00BB3A6E">
              <w:rPr>
                <w:noProof/>
                <w:webHidden/>
              </w:rPr>
              <w:fldChar w:fldCharType="begin"/>
            </w:r>
            <w:r w:rsidR="00BB3A6E">
              <w:rPr>
                <w:noProof/>
                <w:webHidden/>
              </w:rPr>
              <w:instrText xml:space="preserve"> PAGEREF _Toc55391556 \h </w:instrText>
            </w:r>
            <w:r w:rsidR="00BB3A6E">
              <w:rPr>
                <w:noProof/>
                <w:webHidden/>
              </w:rPr>
            </w:r>
            <w:r w:rsidR="00BB3A6E">
              <w:rPr>
                <w:noProof/>
                <w:webHidden/>
              </w:rPr>
              <w:fldChar w:fldCharType="separate"/>
            </w:r>
            <w:r w:rsidR="00BB3A6E">
              <w:rPr>
                <w:noProof/>
                <w:webHidden/>
              </w:rPr>
              <w:t>3</w:t>
            </w:r>
            <w:r w:rsidR="00BB3A6E">
              <w:rPr>
                <w:noProof/>
                <w:webHidden/>
              </w:rPr>
              <w:fldChar w:fldCharType="end"/>
            </w:r>
          </w:hyperlink>
        </w:p>
        <w:p w14:paraId="36213273" w14:textId="34F0F26A"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57" w:history="1">
            <w:r w:rsidR="00BB3A6E" w:rsidRPr="00865AE7">
              <w:rPr>
                <w:rStyle w:val="Lienhypertexte"/>
                <w:rFonts w:eastAsia="Times New Roman"/>
                <w:noProof/>
                <w:lang w:eastAsia="fr-FR"/>
              </w:rPr>
              <w:t>2.2 Les enjeux de l’inclusion financière des migrant-e-s</w:t>
            </w:r>
            <w:r w:rsidR="00BB3A6E">
              <w:rPr>
                <w:noProof/>
                <w:webHidden/>
              </w:rPr>
              <w:tab/>
            </w:r>
            <w:r w:rsidR="00BB3A6E">
              <w:rPr>
                <w:noProof/>
                <w:webHidden/>
              </w:rPr>
              <w:fldChar w:fldCharType="begin"/>
            </w:r>
            <w:r w:rsidR="00BB3A6E">
              <w:rPr>
                <w:noProof/>
                <w:webHidden/>
              </w:rPr>
              <w:instrText xml:space="preserve"> PAGEREF _Toc55391557 \h </w:instrText>
            </w:r>
            <w:r w:rsidR="00BB3A6E">
              <w:rPr>
                <w:noProof/>
                <w:webHidden/>
              </w:rPr>
            </w:r>
            <w:r w:rsidR="00BB3A6E">
              <w:rPr>
                <w:noProof/>
                <w:webHidden/>
              </w:rPr>
              <w:fldChar w:fldCharType="separate"/>
            </w:r>
            <w:r w:rsidR="00BB3A6E">
              <w:rPr>
                <w:noProof/>
                <w:webHidden/>
              </w:rPr>
              <w:t>4</w:t>
            </w:r>
            <w:r w:rsidR="00BB3A6E">
              <w:rPr>
                <w:noProof/>
                <w:webHidden/>
              </w:rPr>
              <w:fldChar w:fldCharType="end"/>
            </w:r>
          </w:hyperlink>
        </w:p>
        <w:p w14:paraId="32993667" w14:textId="5AC930E9"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58" w:history="1">
            <w:r w:rsidR="00BB3A6E" w:rsidRPr="00865AE7">
              <w:rPr>
                <w:rStyle w:val="Lienhypertexte"/>
                <w:rFonts w:eastAsia="Times New Roman"/>
                <w:noProof/>
                <w:lang w:eastAsia="fr-FR"/>
              </w:rPr>
              <w:t>2.3. Etat de l’art : différentes approches pour promouvoir l’inclusion financière des migrant-e-s</w:t>
            </w:r>
            <w:r w:rsidR="00BB3A6E">
              <w:rPr>
                <w:noProof/>
                <w:webHidden/>
              </w:rPr>
              <w:tab/>
            </w:r>
            <w:r w:rsidR="00BB3A6E">
              <w:rPr>
                <w:noProof/>
                <w:webHidden/>
              </w:rPr>
              <w:fldChar w:fldCharType="begin"/>
            </w:r>
            <w:r w:rsidR="00BB3A6E">
              <w:rPr>
                <w:noProof/>
                <w:webHidden/>
              </w:rPr>
              <w:instrText xml:space="preserve"> PAGEREF _Toc55391558 \h </w:instrText>
            </w:r>
            <w:r w:rsidR="00BB3A6E">
              <w:rPr>
                <w:noProof/>
                <w:webHidden/>
              </w:rPr>
            </w:r>
            <w:r w:rsidR="00BB3A6E">
              <w:rPr>
                <w:noProof/>
                <w:webHidden/>
              </w:rPr>
              <w:fldChar w:fldCharType="separate"/>
            </w:r>
            <w:r w:rsidR="00BB3A6E">
              <w:rPr>
                <w:noProof/>
                <w:webHidden/>
              </w:rPr>
              <w:t>6</w:t>
            </w:r>
            <w:r w:rsidR="00BB3A6E">
              <w:rPr>
                <w:noProof/>
                <w:webHidden/>
              </w:rPr>
              <w:fldChar w:fldCharType="end"/>
            </w:r>
          </w:hyperlink>
        </w:p>
        <w:p w14:paraId="3AC8D1FA" w14:textId="6C50C851" w:rsidR="00BB3A6E" w:rsidRDefault="00914447">
          <w:pPr>
            <w:pStyle w:val="TM3"/>
            <w:rPr>
              <w:rFonts w:asciiTheme="minorHAnsi" w:eastAsiaTheme="minorEastAsia" w:hAnsiTheme="minorHAnsi" w:cstheme="minorBidi"/>
              <w:noProof/>
              <w:sz w:val="22"/>
              <w:lang w:eastAsia="fr-FR"/>
            </w:rPr>
          </w:pPr>
          <w:hyperlink w:anchor="_Toc55391559" w:history="1">
            <w:r w:rsidR="00BB3A6E" w:rsidRPr="00865AE7">
              <w:rPr>
                <w:rStyle w:val="Lienhypertexte"/>
                <w:rFonts w:eastAsia="Times New Roman"/>
                <w:noProof/>
                <w:lang w:eastAsia="fr-FR"/>
              </w:rPr>
              <w:t>2.3.1 Le rôle des ONG et des approches partenariales</w:t>
            </w:r>
            <w:r w:rsidR="00BB3A6E">
              <w:rPr>
                <w:noProof/>
                <w:webHidden/>
              </w:rPr>
              <w:tab/>
            </w:r>
            <w:r w:rsidR="00BB3A6E">
              <w:rPr>
                <w:noProof/>
                <w:webHidden/>
              </w:rPr>
              <w:fldChar w:fldCharType="begin"/>
            </w:r>
            <w:r w:rsidR="00BB3A6E">
              <w:rPr>
                <w:noProof/>
                <w:webHidden/>
              </w:rPr>
              <w:instrText xml:space="preserve"> PAGEREF _Toc55391559 \h </w:instrText>
            </w:r>
            <w:r w:rsidR="00BB3A6E">
              <w:rPr>
                <w:noProof/>
                <w:webHidden/>
              </w:rPr>
            </w:r>
            <w:r w:rsidR="00BB3A6E">
              <w:rPr>
                <w:noProof/>
                <w:webHidden/>
              </w:rPr>
              <w:fldChar w:fldCharType="separate"/>
            </w:r>
            <w:r w:rsidR="00BB3A6E">
              <w:rPr>
                <w:noProof/>
                <w:webHidden/>
              </w:rPr>
              <w:t>6</w:t>
            </w:r>
            <w:r w:rsidR="00BB3A6E">
              <w:rPr>
                <w:noProof/>
                <w:webHidden/>
              </w:rPr>
              <w:fldChar w:fldCharType="end"/>
            </w:r>
          </w:hyperlink>
        </w:p>
        <w:p w14:paraId="452C4561" w14:textId="0196ACD8" w:rsidR="00BB3A6E" w:rsidRDefault="00914447">
          <w:pPr>
            <w:pStyle w:val="TM3"/>
            <w:rPr>
              <w:rFonts w:asciiTheme="minorHAnsi" w:eastAsiaTheme="minorEastAsia" w:hAnsiTheme="minorHAnsi" w:cstheme="minorBidi"/>
              <w:noProof/>
              <w:sz w:val="22"/>
              <w:lang w:eastAsia="fr-FR"/>
            </w:rPr>
          </w:pPr>
          <w:hyperlink w:anchor="_Toc55391560" w:history="1">
            <w:r w:rsidR="00BB3A6E" w:rsidRPr="00865AE7">
              <w:rPr>
                <w:rStyle w:val="Lienhypertexte"/>
                <w:rFonts w:eastAsia="Times New Roman"/>
                <w:noProof/>
                <w:lang w:eastAsia="fr-FR"/>
              </w:rPr>
              <w:t>2.3.3. Améliorer la perception des risques</w:t>
            </w:r>
            <w:r w:rsidR="00BB3A6E">
              <w:rPr>
                <w:noProof/>
                <w:webHidden/>
              </w:rPr>
              <w:tab/>
            </w:r>
            <w:r w:rsidR="00BB3A6E">
              <w:rPr>
                <w:noProof/>
                <w:webHidden/>
              </w:rPr>
              <w:fldChar w:fldCharType="begin"/>
            </w:r>
            <w:r w:rsidR="00BB3A6E">
              <w:rPr>
                <w:noProof/>
                <w:webHidden/>
              </w:rPr>
              <w:instrText xml:space="preserve"> PAGEREF _Toc55391560 \h </w:instrText>
            </w:r>
            <w:r w:rsidR="00BB3A6E">
              <w:rPr>
                <w:noProof/>
                <w:webHidden/>
              </w:rPr>
            </w:r>
            <w:r w:rsidR="00BB3A6E">
              <w:rPr>
                <w:noProof/>
                <w:webHidden/>
              </w:rPr>
              <w:fldChar w:fldCharType="separate"/>
            </w:r>
            <w:r w:rsidR="00BB3A6E">
              <w:rPr>
                <w:noProof/>
                <w:webHidden/>
              </w:rPr>
              <w:t>6</w:t>
            </w:r>
            <w:r w:rsidR="00BB3A6E">
              <w:rPr>
                <w:noProof/>
                <w:webHidden/>
              </w:rPr>
              <w:fldChar w:fldCharType="end"/>
            </w:r>
          </w:hyperlink>
        </w:p>
        <w:p w14:paraId="4E6E60BF" w14:textId="3B470FD1" w:rsidR="00BB3A6E" w:rsidRDefault="00914447">
          <w:pPr>
            <w:pStyle w:val="TM3"/>
            <w:rPr>
              <w:rFonts w:asciiTheme="minorHAnsi" w:eastAsiaTheme="minorEastAsia" w:hAnsiTheme="minorHAnsi" w:cstheme="minorBidi"/>
              <w:noProof/>
              <w:sz w:val="22"/>
              <w:lang w:eastAsia="fr-FR"/>
            </w:rPr>
          </w:pPr>
          <w:hyperlink w:anchor="_Toc55391561" w:history="1">
            <w:r w:rsidR="00BB3A6E" w:rsidRPr="00865AE7">
              <w:rPr>
                <w:rStyle w:val="Lienhypertexte"/>
                <w:rFonts w:eastAsiaTheme="minorHAnsi"/>
                <w:noProof/>
                <w:lang w:eastAsia="fr-FR"/>
              </w:rPr>
              <w:t>2.3.4. Développer les infrastructures financières et l’offre de produits</w:t>
            </w:r>
            <w:r w:rsidR="00BB3A6E">
              <w:rPr>
                <w:noProof/>
                <w:webHidden/>
              </w:rPr>
              <w:tab/>
            </w:r>
            <w:r w:rsidR="00BB3A6E">
              <w:rPr>
                <w:noProof/>
                <w:webHidden/>
              </w:rPr>
              <w:fldChar w:fldCharType="begin"/>
            </w:r>
            <w:r w:rsidR="00BB3A6E">
              <w:rPr>
                <w:noProof/>
                <w:webHidden/>
              </w:rPr>
              <w:instrText xml:space="preserve"> PAGEREF _Toc55391561 \h </w:instrText>
            </w:r>
            <w:r w:rsidR="00BB3A6E">
              <w:rPr>
                <w:noProof/>
                <w:webHidden/>
              </w:rPr>
            </w:r>
            <w:r w:rsidR="00BB3A6E">
              <w:rPr>
                <w:noProof/>
                <w:webHidden/>
              </w:rPr>
              <w:fldChar w:fldCharType="separate"/>
            </w:r>
            <w:r w:rsidR="00BB3A6E">
              <w:rPr>
                <w:noProof/>
                <w:webHidden/>
              </w:rPr>
              <w:t>7</w:t>
            </w:r>
            <w:r w:rsidR="00BB3A6E">
              <w:rPr>
                <w:noProof/>
                <w:webHidden/>
              </w:rPr>
              <w:fldChar w:fldCharType="end"/>
            </w:r>
          </w:hyperlink>
        </w:p>
        <w:p w14:paraId="7B82564D" w14:textId="294F56CD" w:rsidR="00BB3A6E" w:rsidRDefault="00914447">
          <w:pPr>
            <w:pStyle w:val="TM3"/>
            <w:rPr>
              <w:rFonts w:asciiTheme="minorHAnsi" w:eastAsiaTheme="minorEastAsia" w:hAnsiTheme="minorHAnsi" w:cstheme="minorBidi"/>
              <w:noProof/>
              <w:sz w:val="22"/>
              <w:lang w:eastAsia="fr-FR"/>
            </w:rPr>
          </w:pPr>
          <w:hyperlink w:anchor="_Toc55391562" w:history="1">
            <w:r w:rsidR="00BB3A6E" w:rsidRPr="00865AE7">
              <w:rPr>
                <w:rStyle w:val="Lienhypertexte"/>
                <w:rFonts w:eastAsia="Times New Roman"/>
                <w:noProof/>
                <w:lang w:eastAsia="fr-FR"/>
              </w:rPr>
              <w:t>2.3.5. Assurer l’éducation financière et la protection des client-e-s</w:t>
            </w:r>
            <w:r w:rsidR="00BB3A6E">
              <w:rPr>
                <w:noProof/>
                <w:webHidden/>
              </w:rPr>
              <w:tab/>
            </w:r>
            <w:r w:rsidR="00BB3A6E">
              <w:rPr>
                <w:noProof/>
                <w:webHidden/>
              </w:rPr>
              <w:fldChar w:fldCharType="begin"/>
            </w:r>
            <w:r w:rsidR="00BB3A6E">
              <w:rPr>
                <w:noProof/>
                <w:webHidden/>
              </w:rPr>
              <w:instrText xml:space="preserve"> PAGEREF _Toc55391562 \h </w:instrText>
            </w:r>
            <w:r w:rsidR="00BB3A6E">
              <w:rPr>
                <w:noProof/>
                <w:webHidden/>
              </w:rPr>
            </w:r>
            <w:r w:rsidR="00BB3A6E">
              <w:rPr>
                <w:noProof/>
                <w:webHidden/>
              </w:rPr>
              <w:fldChar w:fldCharType="separate"/>
            </w:r>
            <w:r w:rsidR="00BB3A6E">
              <w:rPr>
                <w:noProof/>
                <w:webHidden/>
              </w:rPr>
              <w:t>7</w:t>
            </w:r>
            <w:r w:rsidR="00BB3A6E">
              <w:rPr>
                <w:noProof/>
                <w:webHidden/>
              </w:rPr>
              <w:fldChar w:fldCharType="end"/>
            </w:r>
          </w:hyperlink>
        </w:p>
        <w:p w14:paraId="5235BCC9" w14:textId="496D45BD" w:rsidR="00BB3A6E" w:rsidRDefault="00914447">
          <w:pPr>
            <w:pStyle w:val="TM3"/>
            <w:rPr>
              <w:rFonts w:asciiTheme="minorHAnsi" w:eastAsiaTheme="minorEastAsia" w:hAnsiTheme="minorHAnsi" w:cstheme="minorBidi"/>
              <w:noProof/>
              <w:sz w:val="22"/>
              <w:lang w:eastAsia="fr-FR"/>
            </w:rPr>
          </w:pPr>
          <w:hyperlink w:anchor="_Toc55391563" w:history="1">
            <w:r w:rsidR="00BB3A6E" w:rsidRPr="00865AE7">
              <w:rPr>
                <w:rStyle w:val="Lienhypertexte"/>
                <w:rFonts w:eastAsia="Times New Roman"/>
                <w:noProof/>
                <w:lang w:eastAsia="fr-FR"/>
              </w:rPr>
              <w:t>2.3.6. Encourager la participation économique des migrant-e-s</w:t>
            </w:r>
            <w:r w:rsidR="00BB3A6E">
              <w:rPr>
                <w:noProof/>
                <w:webHidden/>
              </w:rPr>
              <w:tab/>
            </w:r>
            <w:r w:rsidR="00BB3A6E">
              <w:rPr>
                <w:noProof/>
                <w:webHidden/>
              </w:rPr>
              <w:fldChar w:fldCharType="begin"/>
            </w:r>
            <w:r w:rsidR="00BB3A6E">
              <w:rPr>
                <w:noProof/>
                <w:webHidden/>
              </w:rPr>
              <w:instrText xml:space="preserve"> PAGEREF _Toc55391563 \h </w:instrText>
            </w:r>
            <w:r w:rsidR="00BB3A6E">
              <w:rPr>
                <w:noProof/>
                <w:webHidden/>
              </w:rPr>
            </w:r>
            <w:r w:rsidR="00BB3A6E">
              <w:rPr>
                <w:noProof/>
                <w:webHidden/>
              </w:rPr>
              <w:fldChar w:fldCharType="separate"/>
            </w:r>
            <w:r w:rsidR="00BB3A6E">
              <w:rPr>
                <w:noProof/>
                <w:webHidden/>
              </w:rPr>
              <w:t>7</w:t>
            </w:r>
            <w:r w:rsidR="00BB3A6E">
              <w:rPr>
                <w:noProof/>
                <w:webHidden/>
              </w:rPr>
              <w:fldChar w:fldCharType="end"/>
            </w:r>
          </w:hyperlink>
        </w:p>
        <w:p w14:paraId="72984BC0" w14:textId="284682A7" w:rsidR="00BB3A6E" w:rsidRDefault="00914447">
          <w:pPr>
            <w:pStyle w:val="TM3"/>
            <w:rPr>
              <w:rFonts w:asciiTheme="minorHAnsi" w:eastAsiaTheme="minorEastAsia" w:hAnsiTheme="minorHAnsi" w:cstheme="minorBidi"/>
              <w:noProof/>
              <w:sz w:val="22"/>
              <w:lang w:eastAsia="fr-FR"/>
            </w:rPr>
          </w:pPr>
          <w:hyperlink w:anchor="_Toc55391564" w:history="1">
            <w:r w:rsidR="00BB3A6E" w:rsidRPr="00865AE7">
              <w:rPr>
                <w:rStyle w:val="Lienhypertexte"/>
                <w:rFonts w:eastAsia="Times New Roman"/>
                <w:noProof/>
                <w:lang w:eastAsia="fr-FR"/>
              </w:rPr>
              <w:t>2.3.7 Faciliter les transferts de fonds</w:t>
            </w:r>
            <w:r w:rsidR="00BB3A6E">
              <w:rPr>
                <w:noProof/>
                <w:webHidden/>
              </w:rPr>
              <w:tab/>
            </w:r>
            <w:r w:rsidR="00BB3A6E">
              <w:rPr>
                <w:noProof/>
                <w:webHidden/>
              </w:rPr>
              <w:fldChar w:fldCharType="begin"/>
            </w:r>
            <w:r w:rsidR="00BB3A6E">
              <w:rPr>
                <w:noProof/>
                <w:webHidden/>
              </w:rPr>
              <w:instrText xml:space="preserve"> PAGEREF _Toc55391564 \h </w:instrText>
            </w:r>
            <w:r w:rsidR="00BB3A6E">
              <w:rPr>
                <w:noProof/>
                <w:webHidden/>
              </w:rPr>
            </w:r>
            <w:r w:rsidR="00BB3A6E">
              <w:rPr>
                <w:noProof/>
                <w:webHidden/>
              </w:rPr>
              <w:fldChar w:fldCharType="separate"/>
            </w:r>
            <w:r w:rsidR="00BB3A6E">
              <w:rPr>
                <w:noProof/>
                <w:webHidden/>
              </w:rPr>
              <w:t>8</w:t>
            </w:r>
            <w:r w:rsidR="00BB3A6E">
              <w:rPr>
                <w:noProof/>
                <w:webHidden/>
              </w:rPr>
              <w:fldChar w:fldCharType="end"/>
            </w:r>
          </w:hyperlink>
        </w:p>
        <w:p w14:paraId="579EF1B2" w14:textId="04742829" w:rsidR="00BB3A6E" w:rsidRDefault="00914447">
          <w:pPr>
            <w:pStyle w:val="TM3"/>
            <w:rPr>
              <w:rFonts w:asciiTheme="minorHAnsi" w:eastAsiaTheme="minorEastAsia" w:hAnsiTheme="minorHAnsi" w:cstheme="minorBidi"/>
              <w:noProof/>
              <w:sz w:val="22"/>
              <w:lang w:eastAsia="fr-FR"/>
            </w:rPr>
          </w:pPr>
          <w:hyperlink w:anchor="_Toc55391565" w:history="1">
            <w:r w:rsidR="00BB3A6E" w:rsidRPr="00865AE7">
              <w:rPr>
                <w:rStyle w:val="Lienhypertexte"/>
                <w:rFonts w:eastAsia="Times New Roman"/>
                <w:noProof/>
                <w:lang w:eastAsia="fr-FR"/>
              </w:rPr>
              <w:t>2.3.8 Favoriser l’inclusion financière des migrantes</w:t>
            </w:r>
            <w:r w:rsidR="00BB3A6E">
              <w:rPr>
                <w:noProof/>
                <w:webHidden/>
              </w:rPr>
              <w:tab/>
            </w:r>
            <w:r w:rsidR="00BB3A6E">
              <w:rPr>
                <w:noProof/>
                <w:webHidden/>
              </w:rPr>
              <w:fldChar w:fldCharType="begin"/>
            </w:r>
            <w:r w:rsidR="00BB3A6E">
              <w:rPr>
                <w:noProof/>
                <w:webHidden/>
              </w:rPr>
              <w:instrText xml:space="preserve"> PAGEREF _Toc55391565 \h </w:instrText>
            </w:r>
            <w:r w:rsidR="00BB3A6E">
              <w:rPr>
                <w:noProof/>
                <w:webHidden/>
              </w:rPr>
            </w:r>
            <w:r w:rsidR="00BB3A6E">
              <w:rPr>
                <w:noProof/>
                <w:webHidden/>
              </w:rPr>
              <w:fldChar w:fldCharType="separate"/>
            </w:r>
            <w:r w:rsidR="00BB3A6E">
              <w:rPr>
                <w:noProof/>
                <w:webHidden/>
              </w:rPr>
              <w:t>8</w:t>
            </w:r>
            <w:r w:rsidR="00BB3A6E">
              <w:rPr>
                <w:noProof/>
                <w:webHidden/>
              </w:rPr>
              <w:fldChar w:fldCharType="end"/>
            </w:r>
          </w:hyperlink>
        </w:p>
        <w:p w14:paraId="07AB17B4" w14:textId="63796247"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66" w:history="1">
            <w:r w:rsidR="00BB3A6E" w:rsidRPr="00865AE7">
              <w:rPr>
                <w:rStyle w:val="Lienhypertexte"/>
                <w:noProof/>
                <w:lang w:eastAsia="fr-FR"/>
              </w:rPr>
              <w:t>2.4. L’intervention de l’AFD en appui à l’inclusion financière</w:t>
            </w:r>
            <w:r w:rsidR="00BB3A6E">
              <w:rPr>
                <w:noProof/>
                <w:webHidden/>
              </w:rPr>
              <w:tab/>
            </w:r>
            <w:r w:rsidR="00BB3A6E">
              <w:rPr>
                <w:noProof/>
                <w:webHidden/>
              </w:rPr>
              <w:fldChar w:fldCharType="begin"/>
            </w:r>
            <w:r w:rsidR="00BB3A6E">
              <w:rPr>
                <w:noProof/>
                <w:webHidden/>
              </w:rPr>
              <w:instrText xml:space="preserve"> PAGEREF _Toc55391566 \h </w:instrText>
            </w:r>
            <w:r w:rsidR="00BB3A6E">
              <w:rPr>
                <w:noProof/>
                <w:webHidden/>
              </w:rPr>
            </w:r>
            <w:r w:rsidR="00BB3A6E">
              <w:rPr>
                <w:noProof/>
                <w:webHidden/>
              </w:rPr>
              <w:fldChar w:fldCharType="separate"/>
            </w:r>
            <w:r w:rsidR="00BB3A6E">
              <w:rPr>
                <w:noProof/>
                <w:webHidden/>
              </w:rPr>
              <w:t>8</w:t>
            </w:r>
            <w:r w:rsidR="00BB3A6E">
              <w:rPr>
                <w:noProof/>
                <w:webHidden/>
              </w:rPr>
              <w:fldChar w:fldCharType="end"/>
            </w:r>
          </w:hyperlink>
        </w:p>
        <w:p w14:paraId="49B9064B" w14:textId="228331E5" w:rsidR="00BB3A6E" w:rsidRDefault="00914447">
          <w:pPr>
            <w:pStyle w:val="TM1"/>
            <w:rPr>
              <w:rFonts w:asciiTheme="minorHAnsi" w:eastAsiaTheme="minorEastAsia" w:hAnsiTheme="minorHAnsi" w:cstheme="minorBidi"/>
              <w:b w:val="0"/>
              <w:color w:val="auto"/>
              <w:spacing w:val="0"/>
              <w:sz w:val="22"/>
              <w:lang w:eastAsia="fr-FR"/>
            </w:rPr>
          </w:pPr>
          <w:hyperlink w:anchor="_Toc55391567" w:history="1">
            <w:r w:rsidR="00BB3A6E" w:rsidRPr="00865AE7">
              <w:rPr>
                <w:rStyle w:val="Lienhypertexte"/>
              </w:rPr>
              <w:t>3. Orientations de l’appel à propositions</w:t>
            </w:r>
            <w:r w:rsidR="00BB3A6E">
              <w:rPr>
                <w:webHidden/>
              </w:rPr>
              <w:tab/>
            </w:r>
            <w:r w:rsidR="00BB3A6E">
              <w:rPr>
                <w:webHidden/>
              </w:rPr>
              <w:fldChar w:fldCharType="begin"/>
            </w:r>
            <w:r w:rsidR="00BB3A6E">
              <w:rPr>
                <w:webHidden/>
              </w:rPr>
              <w:instrText xml:space="preserve"> PAGEREF _Toc55391567 \h </w:instrText>
            </w:r>
            <w:r w:rsidR="00BB3A6E">
              <w:rPr>
                <w:webHidden/>
              </w:rPr>
            </w:r>
            <w:r w:rsidR="00BB3A6E">
              <w:rPr>
                <w:webHidden/>
              </w:rPr>
              <w:fldChar w:fldCharType="separate"/>
            </w:r>
            <w:r w:rsidR="00BB3A6E">
              <w:rPr>
                <w:webHidden/>
              </w:rPr>
              <w:t>9</w:t>
            </w:r>
            <w:r w:rsidR="00BB3A6E">
              <w:rPr>
                <w:webHidden/>
              </w:rPr>
              <w:fldChar w:fldCharType="end"/>
            </w:r>
          </w:hyperlink>
        </w:p>
        <w:p w14:paraId="5A334409" w14:textId="7B243D5A"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68" w:history="1">
            <w:r w:rsidR="00BB3A6E" w:rsidRPr="00865AE7">
              <w:rPr>
                <w:rStyle w:val="Lienhypertexte"/>
                <w:noProof/>
              </w:rPr>
              <w:t>3.1. Lignes directrices générales</w:t>
            </w:r>
            <w:r w:rsidR="00BB3A6E">
              <w:rPr>
                <w:noProof/>
                <w:webHidden/>
              </w:rPr>
              <w:tab/>
            </w:r>
            <w:r w:rsidR="00BB3A6E">
              <w:rPr>
                <w:noProof/>
                <w:webHidden/>
              </w:rPr>
              <w:fldChar w:fldCharType="begin"/>
            </w:r>
            <w:r w:rsidR="00BB3A6E">
              <w:rPr>
                <w:noProof/>
                <w:webHidden/>
              </w:rPr>
              <w:instrText xml:space="preserve"> PAGEREF _Toc55391568 \h </w:instrText>
            </w:r>
            <w:r w:rsidR="00BB3A6E">
              <w:rPr>
                <w:noProof/>
                <w:webHidden/>
              </w:rPr>
            </w:r>
            <w:r w:rsidR="00BB3A6E">
              <w:rPr>
                <w:noProof/>
                <w:webHidden/>
              </w:rPr>
              <w:fldChar w:fldCharType="separate"/>
            </w:r>
            <w:r w:rsidR="00BB3A6E">
              <w:rPr>
                <w:noProof/>
                <w:webHidden/>
              </w:rPr>
              <w:t>9</w:t>
            </w:r>
            <w:r w:rsidR="00BB3A6E">
              <w:rPr>
                <w:noProof/>
                <w:webHidden/>
              </w:rPr>
              <w:fldChar w:fldCharType="end"/>
            </w:r>
          </w:hyperlink>
        </w:p>
        <w:p w14:paraId="7BC5F079" w14:textId="3C09061F" w:rsidR="00BB3A6E" w:rsidRDefault="00914447">
          <w:pPr>
            <w:pStyle w:val="TM3"/>
            <w:rPr>
              <w:rFonts w:asciiTheme="minorHAnsi" w:eastAsiaTheme="minorEastAsia" w:hAnsiTheme="minorHAnsi" w:cstheme="minorBidi"/>
              <w:noProof/>
              <w:sz w:val="22"/>
              <w:lang w:eastAsia="fr-FR"/>
            </w:rPr>
          </w:pPr>
          <w:hyperlink w:anchor="_Toc55391569" w:history="1">
            <w:r w:rsidR="00BB3A6E" w:rsidRPr="00865AE7">
              <w:rPr>
                <w:rStyle w:val="Lienhypertexte"/>
                <w:noProof/>
              </w:rPr>
              <w:t>3.1.1. Périmètre thématique</w:t>
            </w:r>
            <w:r w:rsidR="00BB3A6E">
              <w:rPr>
                <w:noProof/>
                <w:webHidden/>
              </w:rPr>
              <w:tab/>
            </w:r>
            <w:r w:rsidR="00BB3A6E">
              <w:rPr>
                <w:noProof/>
                <w:webHidden/>
              </w:rPr>
              <w:fldChar w:fldCharType="begin"/>
            </w:r>
            <w:r w:rsidR="00BB3A6E">
              <w:rPr>
                <w:noProof/>
                <w:webHidden/>
              </w:rPr>
              <w:instrText xml:space="preserve"> PAGEREF _Toc55391569 \h </w:instrText>
            </w:r>
            <w:r w:rsidR="00BB3A6E">
              <w:rPr>
                <w:noProof/>
                <w:webHidden/>
              </w:rPr>
            </w:r>
            <w:r w:rsidR="00BB3A6E">
              <w:rPr>
                <w:noProof/>
                <w:webHidden/>
              </w:rPr>
              <w:fldChar w:fldCharType="separate"/>
            </w:r>
            <w:r w:rsidR="00BB3A6E">
              <w:rPr>
                <w:noProof/>
                <w:webHidden/>
              </w:rPr>
              <w:t>9</w:t>
            </w:r>
            <w:r w:rsidR="00BB3A6E">
              <w:rPr>
                <w:noProof/>
                <w:webHidden/>
              </w:rPr>
              <w:fldChar w:fldCharType="end"/>
            </w:r>
          </w:hyperlink>
        </w:p>
        <w:p w14:paraId="73A73EAD" w14:textId="3A8A01BF" w:rsidR="00BB3A6E" w:rsidRDefault="00914447">
          <w:pPr>
            <w:pStyle w:val="TM3"/>
            <w:rPr>
              <w:rFonts w:asciiTheme="minorHAnsi" w:eastAsiaTheme="minorEastAsia" w:hAnsiTheme="minorHAnsi" w:cstheme="minorBidi"/>
              <w:noProof/>
              <w:sz w:val="22"/>
              <w:lang w:eastAsia="fr-FR"/>
            </w:rPr>
          </w:pPr>
          <w:hyperlink w:anchor="_Toc55391570" w:history="1">
            <w:r w:rsidR="00BB3A6E" w:rsidRPr="00865AE7">
              <w:rPr>
                <w:rStyle w:val="Lienhypertexte"/>
                <w:noProof/>
              </w:rPr>
              <w:t>3.1.2. Périmètre géographique</w:t>
            </w:r>
            <w:r w:rsidR="00BB3A6E">
              <w:rPr>
                <w:noProof/>
                <w:webHidden/>
              </w:rPr>
              <w:tab/>
            </w:r>
            <w:r w:rsidR="00BB3A6E">
              <w:rPr>
                <w:noProof/>
                <w:webHidden/>
              </w:rPr>
              <w:fldChar w:fldCharType="begin"/>
            </w:r>
            <w:r w:rsidR="00BB3A6E">
              <w:rPr>
                <w:noProof/>
                <w:webHidden/>
              </w:rPr>
              <w:instrText xml:space="preserve"> PAGEREF _Toc55391570 \h </w:instrText>
            </w:r>
            <w:r w:rsidR="00BB3A6E">
              <w:rPr>
                <w:noProof/>
                <w:webHidden/>
              </w:rPr>
            </w:r>
            <w:r w:rsidR="00BB3A6E">
              <w:rPr>
                <w:noProof/>
                <w:webHidden/>
              </w:rPr>
              <w:fldChar w:fldCharType="separate"/>
            </w:r>
            <w:r w:rsidR="00BB3A6E">
              <w:rPr>
                <w:noProof/>
                <w:webHidden/>
              </w:rPr>
              <w:t>10</w:t>
            </w:r>
            <w:r w:rsidR="00BB3A6E">
              <w:rPr>
                <w:noProof/>
                <w:webHidden/>
              </w:rPr>
              <w:fldChar w:fldCharType="end"/>
            </w:r>
          </w:hyperlink>
        </w:p>
        <w:p w14:paraId="721C6243" w14:textId="4C4091C8" w:rsidR="00BB3A6E" w:rsidRDefault="00914447">
          <w:pPr>
            <w:pStyle w:val="TM3"/>
            <w:rPr>
              <w:rFonts w:asciiTheme="minorHAnsi" w:eastAsiaTheme="minorEastAsia" w:hAnsiTheme="minorHAnsi" w:cstheme="minorBidi"/>
              <w:noProof/>
              <w:sz w:val="22"/>
              <w:lang w:eastAsia="fr-FR"/>
            </w:rPr>
          </w:pPr>
          <w:hyperlink w:anchor="_Toc55391571" w:history="1">
            <w:r w:rsidR="00BB3A6E" w:rsidRPr="00865AE7">
              <w:rPr>
                <w:rStyle w:val="Lienhypertexte"/>
                <w:noProof/>
              </w:rPr>
              <w:t>3.1.3. Durée des projets</w:t>
            </w:r>
            <w:r w:rsidR="00BB3A6E">
              <w:rPr>
                <w:noProof/>
                <w:webHidden/>
              </w:rPr>
              <w:tab/>
            </w:r>
            <w:r w:rsidR="00BB3A6E">
              <w:rPr>
                <w:noProof/>
                <w:webHidden/>
              </w:rPr>
              <w:fldChar w:fldCharType="begin"/>
            </w:r>
            <w:r w:rsidR="00BB3A6E">
              <w:rPr>
                <w:noProof/>
                <w:webHidden/>
              </w:rPr>
              <w:instrText xml:space="preserve"> PAGEREF _Toc55391571 \h </w:instrText>
            </w:r>
            <w:r w:rsidR="00BB3A6E">
              <w:rPr>
                <w:noProof/>
                <w:webHidden/>
              </w:rPr>
            </w:r>
            <w:r w:rsidR="00BB3A6E">
              <w:rPr>
                <w:noProof/>
                <w:webHidden/>
              </w:rPr>
              <w:fldChar w:fldCharType="separate"/>
            </w:r>
            <w:r w:rsidR="00BB3A6E">
              <w:rPr>
                <w:noProof/>
                <w:webHidden/>
              </w:rPr>
              <w:t>10</w:t>
            </w:r>
            <w:r w:rsidR="00BB3A6E">
              <w:rPr>
                <w:noProof/>
                <w:webHidden/>
              </w:rPr>
              <w:fldChar w:fldCharType="end"/>
            </w:r>
          </w:hyperlink>
        </w:p>
        <w:p w14:paraId="45F2A870" w14:textId="102CB2FC" w:rsidR="00BB3A6E" w:rsidRDefault="00914447">
          <w:pPr>
            <w:pStyle w:val="TM3"/>
            <w:rPr>
              <w:rFonts w:asciiTheme="minorHAnsi" w:eastAsiaTheme="minorEastAsia" w:hAnsiTheme="minorHAnsi" w:cstheme="minorBidi"/>
              <w:noProof/>
              <w:sz w:val="22"/>
              <w:lang w:eastAsia="fr-FR"/>
            </w:rPr>
          </w:pPr>
          <w:hyperlink w:anchor="_Toc55391572" w:history="1">
            <w:r w:rsidR="00BB3A6E" w:rsidRPr="00865AE7">
              <w:rPr>
                <w:rStyle w:val="Lienhypertexte"/>
                <w:noProof/>
              </w:rPr>
              <w:t>3.1.4. Bénéficiaires</w:t>
            </w:r>
            <w:r w:rsidR="00BB3A6E">
              <w:rPr>
                <w:noProof/>
                <w:webHidden/>
              </w:rPr>
              <w:tab/>
            </w:r>
            <w:r w:rsidR="00BB3A6E">
              <w:rPr>
                <w:noProof/>
                <w:webHidden/>
              </w:rPr>
              <w:fldChar w:fldCharType="begin"/>
            </w:r>
            <w:r w:rsidR="00BB3A6E">
              <w:rPr>
                <w:noProof/>
                <w:webHidden/>
              </w:rPr>
              <w:instrText xml:space="preserve"> PAGEREF _Toc55391572 \h </w:instrText>
            </w:r>
            <w:r w:rsidR="00BB3A6E">
              <w:rPr>
                <w:noProof/>
                <w:webHidden/>
              </w:rPr>
            </w:r>
            <w:r w:rsidR="00BB3A6E">
              <w:rPr>
                <w:noProof/>
                <w:webHidden/>
              </w:rPr>
              <w:fldChar w:fldCharType="separate"/>
            </w:r>
            <w:r w:rsidR="00BB3A6E">
              <w:rPr>
                <w:noProof/>
                <w:webHidden/>
              </w:rPr>
              <w:t>10</w:t>
            </w:r>
            <w:r w:rsidR="00BB3A6E">
              <w:rPr>
                <w:noProof/>
                <w:webHidden/>
              </w:rPr>
              <w:fldChar w:fldCharType="end"/>
            </w:r>
          </w:hyperlink>
        </w:p>
        <w:p w14:paraId="0934B386" w14:textId="190F69DC" w:rsidR="00BB3A6E" w:rsidRDefault="00914447">
          <w:pPr>
            <w:pStyle w:val="TM3"/>
            <w:rPr>
              <w:rFonts w:asciiTheme="minorHAnsi" w:eastAsiaTheme="minorEastAsia" w:hAnsiTheme="minorHAnsi" w:cstheme="minorBidi"/>
              <w:noProof/>
              <w:sz w:val="22"/>
              <w:lang w:eastAsia="fr-FR"/>
            </w:rPr>
          </w:pPr>
          <w:hyperlink w:anchor="_Toc55391573" w:history="1">
            <w:r w:rsidR="00BB3A6E" w:rsidRPr="00865AE7">
              <w:rPr>
                <w:rStyle w:val="Lienhypertexte"/>
                <w:noProof/>
              </w:rPr>
              <w:t>3.1.5. Approche genre</w:t>
            </w:r>
            <w:r w:rsidR="00BB3A6E">
              <w:rPr>
                <w:noProof/>
                <w:webHidden/>
              </w:rPr>
              <w:tab/>
            </w:r>
            <w:r w:rsidR="00BB3A6E">
              <w:rPr>
                <w:noProof/>
                <w:webHidden/>
              </w:rPr>
              <w:fldChar w:fldCharType="begin"/>
            </w:r>
            <w:r w:rsidR="00BB3A6E">
              <w:rPr>
                <w:noProof/>
                <w:webHidden/>
              </w:rPr>
              <w:instrText xml:space="preserve"> PAGEREF _Toc55391573 \h </w:instrText>
            </w:r>
            <w:r w:rsidR="00BB3A6E">
              <w:rPr>
                <w:noProof/>
                <w:webHidden/>
              </w:rPr>
            </w:r>
            <w:r w:rsidR="00BB3A6E">
              <w:rPr>
                <w:noProof/>
                <w:webHidden/>
              </w:rPr>
              <w:fldChar w:fldCharType="separate"/>
            </w:r>
            <w:r w:rsidR="00BB3A6E">
              <w:rPr>
                <w:noProof/>
                <w:webHidden/>
              </w:rPr>
              <w:t>11</w:t>
            </w:r>
            <w:r w:rsidR="00BB3A6E">
              <w:rPr>
                <w:noProof/>
                <w:webHidden/>
              </w:rPr>
              <w:fldChar w:fldCharType="end"/>
            </w:r>
          </w:hyperlink>
        </w:p>
        <w:p w14:paraId="45D7BF32" w14:textId="5CC60E0B"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74" w:history="1">
            <w:r w:rsidR="00BB3A6E" w:rsidRPr="00865AE7">
              <w:rPr>
                <w:rStyle w:val="Lienhypertexte"/>
                <w:noProof/>
              </w:rPr>
              <w:t>3.2. Lignes directrices détaillées</w:t>
            </w:r>
            <w:r w:rsidR="00BB3A6E">
              <w:rPr>
                <w:noProof/>
                <w:webHidden/>
              </w:rPr>
              <w:tab/>
            </w:r>
            <w:r w:rsidR="00BB3A6E">
              <w:rPr>
                <w:noProof/>
                <w:webHidden/>
              </w:rPr>
              <w:fldChar w:fldCharType="begin"/>
            </w:r>
            <w:r w:rsidR="00BB3A6E">
              <w:rPr>
                <w:noProof/>
                <w:webHidden/>
              </w:rPr>
              <w:instrText xml:space="preserve"> PAGEREF _Toc55391574 \h </w:instrText>
            </w:r>
            <w:r w:rsidR="00BB3A6E">
              <w:rPr>
                <w:noProof/>
                <w:webHidden/>
              </w:rPr>
            </w:r>
            <w:r w:rsidR="00BB3A6E">
              <w:rPr>
                <w:noProof/>
                <w:webHidden/>
              </w:rPr>
              <w:fldChar w:fldCharType="separate"/>
            </w:r>
            <w:r w:rsidR="00BB3A6E">
              <w:rPr>
                <w:noProof/>
                <w:webHidden/>
              </w:rPr>
              <w:t>12</w:t>
            </w:r>
            <w:r w:rsidR="00BB3A6E">
              <w:rPr>
                <w:noProof/>
                <w:webHidden/>
              </w:rPr>
              <w:fldChar w:fldCharType="end"/>
            </w:r>
          </w:hyperlink>
        </w:p>
        <w:p w14:paraId="00CEBEC1" w14:textId="60B184CF" w:rsidR="00BB3A6E" w:rsidRDefault="00914447">
          <w:pPr>
            <w:pStyle w:val="TM3"/>
            <w:rPr>
              <w:rFonts w:asciiTheme="minorHAnsi" w:eastAsiaTheme="minorEastAsia" w:hAnsiTheme="minorHAnsi" w:cstheme="minorBidi"/>
              <w:noProof/>
              <w:sz w:val="22"/>
              <w:lang w:eastAsia="fr-FR"/>
            </w:rPr>
          </w:pPr>
          <w:hyperlink w:anchor="_Toc55391575" w:history="1">
            <w:r w:rsidR="00BB3A6E" w:rsidRPr="00865AE7">
              <w:rPr>
                <w:rStyle w:val="Lienhypertexte"/>
                <w:noProof/>
              </w:rPr>
              <w:t>3.2.1. Cadre d’intervention</w:t>
            </w:r>
            <w:r w:rsidR="00BB3A6E">
              <w:rPr>
                <w:noProof/>
                <w:webHidden/>
              </w:rPr>
              <w:tab/>
            </w:r>
            <w:r w:rsidR="00BB3A6E">
              <w:rPr>
                <w:noProof/>
                <w:webHidden/>
              </w:rPr>
              <w:fldChar w:fldCharType="begin"/>
            </w:r>
            <w:r w:rsidR="00BB3A6E">
              <w:rPr>
                <w:noProof/>
                <w:webHidden/>
              </w:rPr>
              <w:instrText xml:space="preserve"> PAGEREF _Toc55391575 \h </w:instrText>
            </w:r>
            <w:r w:rsidR="00BB3A6E">
              <w:rPr>
                <w:noProof/>
                <w:webHidden/>
              </w:rPr>
            </w:r>
            <w:r w:rsidR="00BB3A6E">
              <w:rPr>
                <w:noProof/>
                <w:webHidden/>
              </w:rPr>
              <w:fldChar w:fldCharType="separate"/>
            </w:r>
            <w:r w:rsidR="00BB3A6E">
              <w:rPr>
                <w:noProof/>
                <w:webHidden/>
              </w:rPr>
              <w:t>12</w:t>
            </w:r>
            <w:r w:rsidR="00BB3A6E">
              <w:rPr>
                <w:noProof/>
                <w:webHidden/>
              </w:rPr>
              <w:fldChar w:fldCharType="end"/>
            </w:r>
          </w:hyperlink>
        </w:p>
        <w:p w14:paraId="1678A092" w14:textId="6F6D0557" w:rsidR="00BB3A6E" w:rsidRDefault="00914447">
          <w:pPr>
            <w:pStyle w:val="TM3"/>
            <w:rPr>
              <w:rFonts w:asciiTheme="minorHAnsi" w:eastAsiaTheme="minorEastAsia" w:hAnsiTheme="minorHAnsi" w:cstheme="minorBidi"/>
              <w:noProof/>
              <w:sz w:val="22"/>
              <w:lang w:eastAsia="fr-FR"/>
            </w:rPr>
          </w:pPr>
          <w:hyperlink w:anchor="_Toc55391576" w:history="1">
            <w:r w:rsidR="00BB3A6E" w:rsidRPr="00865AE7">
              <w:rPr>
                <w:rStyle w:val="Lienhypertexte"/>
                <w:noProof/>
              </w:rPr>
              <w:t>3.2.2. Analyse du contexte</w:t>
            </w:r>
            <w:r w:rsidR="00BB3A6E">
              <w:rPr>
                <w:noProof/>
                <w:webHidden/>
              </w:rPr>
              <w:tab/>
            </w:r>
            <w:r w:rsidR="00BB3A6E">
              <w:rPr>
                <w:noProof/>
                <w:webHidden/>
              </w:rPr>
              <w:fldChar w:fldCharType="begin"/>
            </w:r>
            <w:r w:rsidR="00BB3A6E">
              <w:rPr>
                <w:noProof/>
                <w:webHidden/>
              </w:rPr>
              <w:instrText xml:space="preserve"> PAGEREF _Toc55391576 \h </w:instrText>
            </w:r>
            <w:r w:rsidR="00BB3A6E">
              <w:rPr>
                <w:noProof/>
                <w:webHidden/>
              </w:rPr>
            </w:r>
            <w:r w:rsidR="00BB3A6E">
              <w:rPr>
                <w:noProof/>
                <w:webHidden/>
              </w:rPr>
              <w:fldChar w:fldCharType="separate"/>
            </w:r>
            <w:r w:rsidR="00BB3A6E">
              <w:rPr>
                <w:noProof/>
                <w:webHidden/>
              </w:rPr>
              <w:t>14</w:t>
            </w:r>
            <w:r w:rsidR="00BB3A6E">
              <w:rPr>
                <w:noProof/>
                <w:webHidden/>
              </w:rPr>
              <w:fldChar w:fldCharType="end"/>
            </w:r>
          </w:hyperlink>
        </w:p>
        <w:p w14:paraId="2CB4CC32" w14:textId="1D13B707" w:rsidR="00BB3A6E" w:rsidRDefault="00914447">
          <w:pPr>
            <w:pStyle w:val="TM3"/>
            <w:rPr>
              <w:rFonts w:asciiTheme="minorHAnsi" w:eastAsiaTheme="minorEastAsia" w:hAnsiTheme="minorHAnsi" w:cstheme="minorBidi"/>
              <w:noProof/>
              <w:sz w:val="22"/>
              <w:lang w:eastAsia="fr-FR"/>
            </w:rPr>
          </w:pPr>
          <w:hyperlink w:anchor="_Toc55391577" w:history="1">
            <w:r w:rsidR="00BB3A6E" w:rsidRPr="00865AE7">
              <w:rPr>
                <w:rStyle w:val="Lienhypertexte"/>
                <w:noProof/>
              </w:rPr>
              <w:t>3.2.3. Analyse des risques</w:t>
            </w:r>
            <w:r w:rsidR="00BB3A6E">
              <w:rPr>
                <w:noProof/>
                <w:webHidden/>
              </w:rPr>
              <w:tab/>
            </w:r>
            <w:r w:rsidR="00BB3A6E">
              <w:rPr>
                <w:noProof/>
                <w:webHidden/>
              </w:rPr>
              <w:fldChar w:fldCharType="begin"/>
            </w:r>
            <w:r w:rsidR="00BB3A6E">
              <w:rPr>
                <w:noProof/>
                <w:webHidden/>
              </w:rPr>
              <w:instrText xml:space="preserve"> PAGEREF _Toc55391577 \h </w:instrText>
            </w:r>
            <w:r w:rsidR="00BB3A6E">
              <w:rPr>
                <w:noProof/>
                <w:webHidden/>
              </w:rPr>
            </w:r>
            <w:r w:rsidR="00BB3A6E">
              <w:rPr>
                <w:noProof/>
                <w:webHidden/>
              </w:rPr>
              <w:fldChar w:fldCharType="separate"/>
            </w:r>
            <w:r w:rsidR="00BB3A6E">
              <w:rPr>
                <w:noProof/>
                <w:webHidden/>
              </w:rPr>
              <w:t>14</w:t>
            </w:r>
            <w:r w:rsidR="00BB3A6E">
              <w:rPr>
                <w:noProof/>
                <w:webHidden/>
              </w:rPr>
              <w:fldChar w:fldCharType="end"/>
            </w:r>
          </w:hyperlink>
        </w:p>
        <w:p w14:paraId="2F0A6043" w14:textId="4488E333" w:rsidR="00BB3A6E" w:rsidRDefault="00914447">
          <w:pPr>
            <w:pStyle w:val="TM3"/>
            <w:rPr>
              <w:rFonts w:asciiTheme="minorHAnsi" w:eastAsiaTheme="minorEastAsia" w:hAnsiTheme="minorHAnsi" w:cstheme="minorBidi"/>
              <w:noProof/>
              <w:sz w:val="22"/>
              <w:lang w:eastAsia="fr-FR"/>
            </w:rPr>
          </w:pPr>
          <w:hyperlink w:anchor="_Toc55391578" w:history="1">
            <w:r w:rsidR="00BB3A6E" w:rsidRPr="00865AE7">
              <w:rPr>
                <w:rStyle w:val="Lienhypertexte"/>
                <w:noProof/>
              </w:rPr>
              <w:t>3.2.4 Recours au numérique</w:t>
            </w:r>
            <w:r w:rsidR="00BB3A6E">
              <w:rPr>
                <w:noProof/>
                <w:webHidden/>
              </w:rPr>
              <w:tab/>
            </w:r>
            <w:r w:rsidR="00BB3A6E">
              <w:rPr>
                <w:noProof/>
                <w:webHidden/>
              </w:rPr>
              <w:fldChar w:fldCharType="begin"/>
            </w:r>
            <w:r w:rsidR="00BB3A6E">
              <w:rPr>
                <w:noProof/>
                <w:webHidden/>
              </w:rPr>
              <w:instrText xml:space="preserve"> PAGEREF _Toc55391578 \h </w:instrText>
            </w:r>
            <w:r w:rsidR="00BB3A6E">
              <w:rPr>
                <w:noProof/>
                <w:webHidden/>
              </w:rPr>
            </w:r>
            <w:r w:rsidR="00BB3A6E">
              <w:rPr>
                <w:noProof/>
                <w:webHidden/>
              </w:rPr>
              <w:fldChar w:fldCharType="separate"/>
            </w:r>
            <w:r w:rsidR="00BB3A6E">
              <w:rPr>
                <w:noProof/>
                <w:webHidden/>
              </w:rPr>
              <w:t>14</w:t>
            </w:r>
            <w:r w:rsidR="00BB3A6E">
              <w:rPr>
                <w:noProof/>
                <w:webHidden/>
              </w:rPr>
              <w:fldChar w:fldCharType="end"/>
            </w:r>
          </w:hyperlink>
        </w:p>
        <w:p w14:paraId="3C1BAE1D" w14:textId="0E63E79B" w:rsidR="00BB3A6E" w:rsidRDefault="00914447">
          <w:pPr>
            <w:pStyle w:val="TM3"/>
            <w:rPr>
              <w:rFonts w:asciiTheme="minorHAnsi" w:eastAsiaTheme="minorEastAsia" w:hAnsiTheme="minorHAnsi" w:cstheme="minorBidi"/>
              <w:noProof/>
              <w:sz w:val="22"/>
              <w:lang w:eastAsia="fr-FR"/>
            </w:rPr>
          </w:pPr>
          <w:hyperlink w:anchor="_Toc55391579" w:history="1">
            <w:r w:rsidR="00BB3A6E" w:rsidRPr="00865AE7">
              <w:rPr>
                <w:rStyle w:val="Lienhypertexte"/>
                <w:noProof/>
              </w:rPr>
              <w:t>3.2.5. Analyse des conditions de pérennisation et de changement d’échelle de la démarche innovante proposée</w:t>
            </w:r>
            <w:r w:rsidR="00BB3A6E">
              <w:rPr>
                <w:noProof/>
                <w:webHidden/>
              </w:rPr>
              <w:tab/>
            </w:r>
            <w:r w:rsidR="00BB3A6E">
              <w:rPr>
                <w:noProof/>
                <w:webHidden/>
              </w:rPr>
              <w:fldChar w:fldCharType="begin"/>
            </w:r>
            <w:r w:rsidR="00BB3A6E">
              <w:rPr>
                <w:noProof/>
                <w:webHidden/>
              </w:rPr>
              <w:instrText xml:space="preserve"> PAGEREF _Toc55391579 \h </w:instrText>
            </w:r>
            <w:r w:rsidR="00BB3A6E">
              <w:rPr>
                <w:noProof/>
                <w:webHidden/>
              </w:rPr>
            </w:r>
            <w:r w:rsidR="00BB3A6E">
              <w:rPr>
                <w:noProof/>
                <w:webHidden/>
              </w:rPr>
              <w:fldChar w:fldCharType="separate"/>
            </w:r>
            <w:r w:rsidR="00BB3A6E">
              <w:rPr>
                <w:noProof/>
                <w:webHidden/>
              </w:rPr>
              <w:t>15</w:t>
            </w:r>
            <w:r w:rsidR="00BB3A6E">
              <w:rPr>
                <w:noProof/>
                <w:webHidden/>
              </w:rPr>
              <w:fldChar w:fldCharType="end"/>
            </w:r>
          </w:hyperlink>
        </w:p>
        <w:p w14:paraId="0CF36079" w14:textId="4CC6C57A" w:rsidR="00BB3A6E" w:rsidRDefault="00914447">
          <w:pPr>
            <w:pStyle w:val="TM2"/>
            <w:tabs>
              <w:tab w:val="right" w:leader="dot" w:pos="9062"/>
            </w:tabs>
            <w:rPr>
              <w:rFonts w:asciiTheme="minorHAnsi" w:eastAsiaTheme="minorEastAsia" w:hAnsiTheme="minorHAnsi" w:cstheme="minorBidi"/>
              <w:noProof/>
              <w:sz w:val="22"/>
              <w:lang w:eastAsia="fr-FR"/>
            </w:rPr>
          </w:pPr>
          <w:hyperlink w:anchor="_Toc55391580" w:history="1">
            <w:r w:rsidR="00BB3A6E" w:rsidRPr="00865AE7">
              <w:rPr>
                <w:rStyle w:val="Lienhypertexte"/>
                <w:noProof/>
              </w:rPr>
              <w:t>3.3. Évaluation et capitalisation sous l’angle de l’innovation</w:t>
            </w:r>
            <w:r w:rsidR="00BB3A6E">
              <w:rPr>
                <w:noProof/>
                <w:webHidden/>
              </w:rPr>
              <w:tab/>
            </w:r>
            <w:r w:rsidR="00BB3A6E">
              <w:rPr>
                <w:noProof/>
                <w:webHidden/>
              </w:rPr>
              <w:fldChar w:fldCharType="begin"/>
            </w:r>
            <w:r w:rsidR="00BB3A6E">
              <w:rPr>
                <w:noProof/>
                <w:webHidden/>
              </w:rPr>
              <w:instrText xml:space="preserve"> PAGEREF _Toc55391580 \h </w:instrText>
            </w:r>
            <w:r w:rsidR="00BB3A6E">
              <w:rPr>
                <w:noProof/>
                <w:webHidden/>
              </w:rPr>
            </w:r>
            <w:r w:rsidR="00BB3A6E">
              <w:rPr>
                <w:noProof/>
                <w:webHidden/>
              </w:rPr>
              <w:fldChar w:fldCharType="separate"/>
            </w:r>
            <w:r w:rsidR="00BB3A6E">
              <w:rPr>
                <w:noProof/>
                <w:webHidden/>
              </w:rPr>
              <w:t>15</w:t>
            </w:r>
            <w:r w:rsidR="00BB3A6E">
              <w:rPr>
                <w:noProof/>
                <w:webHidden/>
              </w:rPr>
              <w:fldChar w:fldCharType="end"/>
            </w:r>
          </w:hyperlink>
        </w:p>
        <w:p w14:paraId="6FC8BA27" w14:textId="188EB8CA" w:rsidR="00BB3A6E" w:rsidRDefault="00914447">
          <w:pPr>
            <w:pStyle w:val="TM3"/>
            <w:rPr>
              <w:rFonts w:asciiTheme="minorHAnsi" w:eastAsiaTheme="minorEastAsia" w:hAnsiTheme="minorHAnsi" w:cstheme="minorBidi"/>
              <w:noProof/>
              <w:sz w:val="22"/>
              <w:lang w:eastAsia="fr-FR"/>
            </w:rPr>
          </w:pPr>
          <w:hyperlink w:anchor="_Toc55391581" w:history="1">
            <w:r w:rsidR="00BB3A6E" w:rsidRPr="00865AE7">
              <w:rPr>
                <w:rStyle w:val="Lienhypertexte"/>
                <w:noProof/>
              </w:rPr>
              <w:t>3.3.1 Démarche d’innovation</w:t>
            </w:r>
            <w:r w:rsidR="00BB3A6E">
              <w:rPr>
                <w:noProof/>
                <w:webHidden/>
              </w:rPr>
              <w:tab/>
            </w:r>
            <w:r w:rsidR="00BB3A6E">
              <w:rPr>
                <w:noProof/>
                <w:webHidden/>
              </w:rPr>
              <w:fldChar w:fldCharType="begin"/>
            </w:r>
            <w:r w:rsidR="00BB3A6E">
              <w:rPr>
                <w:noProof/>
                <w:webHidden/>
              </w:rPr>
              <w:instrText xml:space="preserve"> PAGEREF _Toc55391581 \h </w:instrText>
            </w:r>
            <w:r w:rsidR="00BB3A6E">
              <w:rPr>
                <w:noProof/>
                <w:webHidden/>
              </w:rPr>
            </w:r>
            <w:r w:rsidR="00BB3A6E">
              <w:rPr>
                <w:noProof/>
                <w:webHidden/>
              </w:rPr>
              <w:fldChar w:fldCharType="separate"/>
            </w:r>
            <w:r w:rsidR="00BB3A6E">
              <w:rPr>
                <w:noProof/>
                <w:webHidden/>
              </w:rPr>
              <w:t>15</w:t>
            </w:r>
            <w:r w:rsidR="00BB3A6E">
              <w:rPr>
                <w:noProof/>
                <w:webHidden/>
              </w:rPr>
              <w:fldChar w:fldCharType="end"/>
            </w:r>
          </w:hyperlink>
        </w:p>
        <w:p w14:paraId="029A4CDA" w14:textId="13A37378" w:rsidR="00BB3A6E" w:rsidRDefault="00914447">
          <w:pPr>
            <w:pStyle w:val="TM3"/>
            <w:rPr>
              <w:rFonts w:asciiTheme="minorHAnsi" w:eastAsiaTheme="minorEastAsia" w:hAnsiTheme="minorHAnsi" w:cstheme="minorBidi"/>
              <w:noProof/>
              <w:sz w:val="22"/>
              <w:lang w:eastAsia="fr-FR"/>
            </w:rPr>
          </w:pPr>
          <w:hyperlink w:anchor="_Toc55391582" w:history="1">
            <w:r w:rsidR="00BB3A6E" w:rsidRPr="00865AE7">
              <w:rPr>
                <w:rStyle w:val="Lienhypertexte"/>
                <w:noProof/>
              </w:rPr>
              <w:t>3.3.2 Suivi et évaluation du projet</w:t>
            </w:r>
            <w:r w:rsidR="00BB3A6E">
              <w:rPr>
                <w:noProof/>
                <w:webHidden/>
              </w:rPr>
              <w:tab/>
            </w:r>
            <w:r w:rsidR="00BB3A6E">
              <w:rPr>
                <w:noProof/>
                <w:webHidden/>
              </w:rPr>
              <w:fldChar w:fldCharType="begin"/>
            </w:r>
            <w:r w:rsidR="00BB3A6E">
              <w:rPr>
                <w:noProof/>
                <w:webHidden/>
              </w:rPr>
              <w:instrText xml:space="preserve"> PAGEREF _Toc55391582 \h </w:instrText>
            </w:r>
            <w:r w:rsidR="00BB3A6E">
              <w:rPr>
                <w:noProof/>
                <w:webHidden/>
              </w:rPr>
            </w:r>
            <w:r w:rsidR="00BB3A6E">
              <w:rPr>
                <w:noProof/>
                <w:webHidden/>
              </w:rPr>
              <w:fldChar w:fldCharType="separate"/>
            </w:r>
            <w:r w:rsidR="00BB3A6E">
              <w:rPr>
                <w:noProof/>
                <w:webHidden/>
              </w:rPr>
              <w:t>15</w:t>
            </w:r>
            <w:r w:rsidR="00BB3A6E">
              <w:rPr>
                <w:noProof/>
                <w:webHidden/>
              </w:rPr>
              <w:fldChar w:fldCharType="end"/>
            </w:r>
          </w:hyperlink>
        </w:p>
        <w:p w14:paraId="74830336" w14:textId="137D1AD7" w:rsidR="00BB3A6E" w:rsidRDefault="00914447">
          <w:pPr>
            <w:pStyle w:val="TM3"/>
            <w:rPr>
              <w:rFonts w:asciiTheme="minorHAnsi" w:eastAsiaTheme="minorEastAsia" w:hAnsiTheme="minorHAnsi" w:cstheme="minorBidi"/>
              <w:noProof/>
              <w:sz w:val="22"/>
              <w:lang w:eastAsia="fr-FR"/>
            </w:rPr>
          </w:pPr>
          <w:hyperlink w:anchor="_Toc55391583" w:history="1">
            <w:r w:rsidR="00BB3A6E" w:rsidRPr="00865AE7">
              <w:rPr>
                <w:rStyle w:val="Lienhypertexte"/>
                <w:noProof/>
              </w:rPr>
              <w:t>3.3.3 Capitalisation</w:t>
            </w:r>
            <w:r w:rsidR="00BB3A6E">
              <w:rPr>
                <w:noProof/>
                <w:webHidden/>
              </w:rPr>
              <w:tab/>
            </w:r>
            <w:r w:rsidR="00BB3A6E">
              <w:rPr>
                <w:noProof/>
                <w:webHidden/>
              </w:rPr>
              <w:fldChar w:fldCharType="begin"/>
            </w:r>
            <w:r w:rsidR="00BB3A6E">
              <w:rPr>
                <w:noProof/>
                <w:webHidden/>
              </w:rPr>
              <w:instrText xml:space="preserve"> PAGEREF _Toc55391583 \h </w:instrText>
            </w:r>
            <w:r w:rsidR="00BB3A6E">
              <w:rPr>
                <w:noProof/>
                <w:webHidden/>
              </w:rPr>
            </w:r>
            <w:r w:rsidR="00BB3A6E">
              <w:rPr>
                <w:noProof/>
                <w:webHidden/>
              </w:rPr>
              <w:fldChar w:fldCharType="separate"/>
            </w:r>
            <w:r w:rsidR="00BB3A6E">
              <w:rPr>
                <w:noProof/>
                <w:webHidden/>
              </w:rPr>
              <w:t>16</w:t>
            </w:r>
            <w:r w:rsidR="00BB3A6E">
              <w:rPr>
                <w:noProof/>
                <w:webHidden/>
              </w:rPr>
              <w:fldChar w:fldCharType="end"/>
            </w:r>
          </w:hyperlink>
        </w:p>
        <w:p w14:paraId="611F1B6A" w14:textId="4144630C" w:rsidR="00BB3A6E" w:rsidRDefault="00914447">
          <w:pPr>
            <w:pStyle w:val="TM1"/>
            <w:rPr>
              <w:rFonts w:asciiTheme="minorHAnsi" w:eastAsiaTheme="minorEastAsia" w:hAnsiTheme="minorHAnsi" w:cstheme="minorBidi"/>
              <w:b w:val="0"/>
              <w:color w:val="auto"/>
              <w:spacing w:val="0"/>
              <w:sz w:val="22"/>
              <w:lang w:eastAsia="fr-FR"/>
            </w:rPr>
          </w:pPr>
          <w:hyperlink w:anchor="_Toc55391584" w:history="1">
            <w:r w:rsidR="00BB3A6E" w:rsidRPr="00865AE7">
              <w:rPr>
                <w:rStyle w:val="Lienhypertexte"/>
              </w:rPr>
              <w:t>3.4. Qualification et expérience des ONG</w:t>
            </w:r>
            <w:r w:rsidR="00BB3A6E">
              <w:rPr>
                <w:webHidden/>
              </w:rPr>
              <w:tab/>
            </w:r>
            <w:r w:rsidR="00BB3A6E">
              <w:rPr>
                <w:webHidden/>
              </w:rPr>
              <w:fldChar w:fldCharType="begin"/>
            </w:r>
            <w:r w:rsidR="00BB3A6E">
              <w:rPr>
                <w:webHidden/>
              </w:rPr>
              <w:instrText xml:space="preserve"> PAGEREF _Toc55391584 \h </w:instrText>
            </w:r>
            <w:r w:rsidR="00BB3A6E">
              <w:rPr>
                <w:webHidden/>
              </w:rPr>
            </w:r>
            <w:r w:rsidR="00BB3A6E">
              <w:rPr>
                <w:webHidden/>
              </w:rPr>
              <w:fldChar w:fldCharType="separate"/>
            </w:r>
            <w:r w:rsidR="00BB3A6E">
              <w:rPr>
                <w:webHidden/>
              </w:rPr>
              <w:t>16</w:t>
            </w:r>
            <w:r w:rsidR="00BB3A6E">
              <w:rPr>
                <w:webHidden/>
              </w:rPr>
              <w:fldChar w:fldCharType="end"/>
            </w:r>
          </w:hyperlink>
        </w:p>
        <w:p w14:paraId="016B988A" w14:textId="71666410" w:rsidR="00BB3A6E" w:rsidRDefault="00914447">
          <w:pPr>
            <w:pStyle w:val="TM1"/>
            <w:rPr>
              <w:rFonts w:asciiTheme="minorHAnsi" w:eastAsiaTheme="minorEastAsia" w:hAnsiTheme="minorHAnsi" w:cstheme="minorBidi"/>
              <w:b w:val="0"/>
              <w:color w:val="auto"/>
              <w:spacing w:val="0"/>
              <w:sz w:val="22"/>
              <w:lang w:eastAsia="fr-FR"/>
            </w:rPr>
          </w:pPr>
          <w:hyperlink w:anchor="_Toc55391585" w:history="1">
            <w:r w:rsidR="00BB3A6E" w:rsidRPr="00865AE7">
              <w:rPr>
                <w:rStyle w:val="Lienhypertexte"/>
              </w:rPr>
              <w:t>3.5. Cadrage budgétaire</w:t>
            </w:r>
            <w:r w:rsidR="00BB3A6E">
              <w:rPr>
                <w:webHidden/>
              </w:rPr>
              <w:tab/>
            </w:r>
            <w:r w:rsidR="00BB3A6E">
              <w:rPr>
                <w:webHidden/>
              </w:rPr>
              <w:fldChar w:fldCharType="begin"/>
            </w:r>
            <w:r w:rsidR="00BB3A6E">
              <w:rPr>
                <w:webHidden/>
              </w:rPr>
              <w:instrText xml:space="preserve"> PAGEREF _Toc55391585 \h </w:instrText>
            </w:r>
            <w:r w:rsidR="00BB3A6E">
              <w:rPr>
                <w:webHidden/>
              </w:rPr>
            </w:r>
            <w:r w:rsidR="00BB3A6E">
              <w:rPr>
                <w:webHidden/>
              </w:rPr>
              <w:fldChar w:fldCharType="separate"/>
            </w:r>
            <w:r w:rsidR="00BB3A6E">
              <w:rPr>
                <w:webHidden/>
              </w:rPr>
              <w:t>17</w:t>
            </w:r>
            <w:r w:rsidR="00BB3A6E">
              <w:rPr>
                <w:webHidden/>
              </w:rPr>
              <w:fldChar w:fldCharType="end"/>
            </w:r>
          </w:hyperlink>
        </w:p>
        <w:p w14:paraId="17C7903F" w14:textId="2E981C5E" w:rsidR="00BB3A6E" w:rsidRDefault="00914447">
          <w:pPr>
            <w:pStyle w:val="TM1"/>
            <w:rPr>
              <w:rFonts w:asciiTheme="minorHAnsi" w:eastAsiaTheme="minorEastAsia" w:hAnsiTheme="minorHAnsi" w:cstheme="minorBidi"/>
              <w:b w:val="0"/>
              <w:color w:val="auto"/>
              <w:spacing w:val="0"/>
              <w:sz w:val="22"/>
              <w:lang w:eastAsia="fr-FR"/>
            </w:rPr>
          </w:pPr>
          <w:hyperlink w:anchor="_Toc55391586" w:history="1">
            <w:r w:rsidR="00BB3A6E" w:rsidRPr="00865AE7">
              <w:rPr>
                <w:rStyle w:val="Lienhypertexte"/>
              </w:rPr>
              <w:t>3.6. Critères d’évaluation des propositions</w:t>
            </w:r>
            <w:r w:rsidR="00BB3A6E">
              <w:rPr>
                <w:webHidden/>
              </w:rPr>
              <w:tab/>
            </w:r>
            <w:r w:rsidR="00BB3A6E">
              <w:rPr>
                <w:webHidden/>
              </w:rPr>
              <w:fldChar w:fldCharType="begin"/>
            </w:r>
            <w:r w:rsidR="00BB3A6E">
              <w:rPr>
                <w:webHidden/>
              </w:rPr>
              <w:instrText xml:space="preserve"> PAGEREF _Toc55391586 \h </w:instrText>
            </w:r>
            <w:r w:rsidR="00BB3A6E">
              <w:rPr>
                <w:webHidden/>
              </w:rPr>
            </w:r>
            <w:r w:rsidR="00BB3A6E">
              <w:rPr>
                <w:webHidden/>
              </w:rPr>
              <w:fldChar w:fldCharType="separate"/>
            </w:r>
            <w:r w:rsidR="00BB3A6E">
              <w:rPr>
                <w:webHidden/>
              </w:rPr>
              <w:t>18</w:t>
            </w:r>
            <w:r w:rsidR="00BB3A6E">
              <w:rPr>
                <w:webHidden/>
              </w:rPr>
              <w:fldChar w:fldCharType="end"/>
            </w:r>
          </w:hyperlink>
        </w:p>
        <w:p w14:paraId="5DF57782" w14:textId="27F08911" w:rsidR="00BB3A6E" w:rsidRDefault="00914447">
          <w:pPr>
            <w:pStyle w:val="TM1"/>
            <w:rPr>
              <w:rFonts w:asciiTheme="minorHAnsi" w:eastAsiaTheme="minorEastAsia" w:hAnsiTheme="minorHAnsi" w:cstheme="minorBidi"/>
              <w:b w:val="0"/>
              <w:color w:val="auto"/>
              <w:spacing w:val="0"/>
              <w:sz w:val="22"/>
              <w:lang w:eastAsia="fr-FR"/>
            </w:rPr>
          </w:pPr>
          <w:hyperlink w:anchor="_Toc55391587" w:history="1">
            <w:r w:rsidR="00BB3A6E" w:rsidRPr="00865AE7">
              <w:rPr>
                <w:rStyle w:val="Lienhypertexte"/>
              </w:rPr>
              <w:t>3.7. Calendrier prévisionnel</w:t>
            </w:r>
            <w:r w:rsidR="00BB3A6E">
              <w:rPr>
                <w:webHidden/>
              </w:rPr>
              <w:tab/>
            </w:r>
            <w:r w:rsidR="00BB3A6E">
              <w:rPr>
                <w:webHidden/>
              </w:rPr>
              <w:fldChar w:fldCharType="begin"/>
            </w:r>
            <w:r w:rsidR="00BB3A6E">
              <w:rPr>
                <w:webHidden/>
              </w:rPr>
              <w:instrText xml:space="preserve"> PAGEREF _Toc55391587 \h </w:instrText>
            </w:r>
            <w:r w:rsidR="00BB3A6E">
              <w:rPr>
                <w:webHidden/>
              </w:rPr>
            </w:r>
            <w:r w:rsidR="00BB3A6E">
              <w:rPr>
                <w:webHidden/>
              </w:rPr>
              <w:fldChar w:fldCharType="separate"/>
            </w:r>
            <w:r w:rsidR="00BB3A6E">
              <w:rPr>
                <w:webHidden/>
              </w:rPr>
              <w:t>19</w:t>
            </w:r>
            <w:r w:rsidR="00BB3A6E">
              <w:rPr>
                <w:webHidden/>
              </w:rPr>
              <w:fldChar w:fldCharType="end"/>
            </w:r>
          </w:hyperlink>
        </w:p>
        <w:p w14:paraId="5980633E" w14:textId="51C71EF3" w:rsidR="00BB3A6E" w:rsidRDefault="00BB3A6E">
          <w:r>
            <w:rPr>
              <w:b/>
              <w:bCs/>
            </w:rPr>
            <w:fldChar w:fldCharType="end"/>
          </w:r>
        </w:p>
      </w:sdtContent>
    </w:sdt>
    <w:p w14:paraId="7B696B35" w14:textId="555608C4" w:rsidR="00BB3A6E" w:rsidRDefault="00BB3A6E">
      <w:pPr>
        <w:rPr>
          <w:rFonts w:eastAsia="Times New Roman"/>
          <w:lang w:eastAsia="fr-FR"/>
        </w:rPr>
      </w:pPr>
      <w:r>
        <w:rPr>
          <w:rFonts w:eastAsia="Times New Roman"/>
          <w:lang w:eastAsia="fr-FR"/>
        </w:rPr>
        <w:br w:type="page"/>
      </w:r>
    </w:p>
    <w:p w14:paraId="709F5942" w14:textId="743FF596" w:rsidR="001273AB" w:rsidRPr="00D852BE" w:rsidRDefault="00402703" w:rsidP="001273AB">
      <w:pPr>
        <w:pStyle w:val="Titre1"/>
        <w:rPr>
          <w:rFonts w:eastAsia="Times New Roman"/>
          <w:lang w:eastAsia="fr-FR"/>
        </w:rPr>
      </w:pPr>
      <w:bookmarkStart w:id="1" w:name="_Toc55391554"/>
      <w:r>
        <w:rPr>
          <w:rFonts w:eastAsia="Times New Roman"/>
          <w:lang w:eastAsia="fr-FR"/>
        </w:rPr>
        <w:lastRenderedPageBreak/>
        <w:t xml:space="preserve">1. </w:t>
      </w:r>
      <w:r w:rsidR="007E0CE5">
        <w:rPr>
          <w:rFonts w:eastAsia="Times New Roman"/>
          <w:lang w:eastAsia="fr-FR"/>
        </w:rPr>
        <w:t>Rappel sur l’instrument FISONG</w:t>
      </w:r>
      <w:bookmarkEnd w:id="1"/>
    </w:p>
    <w:p w14:paraId="50D8C40E" w14:textId="594D88FB" w:rsidR="001273AB" w:rsidRDefault="001273AB" w:rsidP="001273AB">
      <w:pPr>
        <w:spacing w:after="0" w:line="240" w:lineRule="auto"/>
        <w:rPr>
          <w:rFonts w:ascii="Calibri" w:eastAsia="Times New Roman" w:hAnsi="Calibri" w:cs="Calibri"/>
          <w:lang w:eastAsia="fr-FR"/>
        </w:rPr>
      </w:pPr>
    </w:p>
    <w:p w14:paraId="26E61E3C" w14:textId="77777777" w:rsidR="003D67B7" w:rsidRPr="003D67B7" w:rsidRDefault="003D67B7" w:rsidP="00E908BA">
      <w:pPr>
        <w:spacing w:after="0" w:line="240" w:lineRule="auto"/>
        <w:jc w:val="both"/>
        <w:rPr>
          <w:rFonts w:ascii="Calibri" w:eastAsia="Times New Roman" w:hAnsi="Calibri" w:cs="Calibri"/>
          <w:lang w:eastAsia="fr-FR"/>
        </w:rPr>
      </w:pPr>
      <w:r w:rsidRPr="003D67B7">
        <w:rPr>
          <w:rFonts w:ascii="Calibri" w:eastAsia="Times New Roman" w:hAnsi="Calibri" w:cs="Calibri"/>
          <w:lang w:eastAsia="fr-FR"/>
        </w:rPr>
        <w:t xml:space="preserve">Créée en 2007, la FISONG permet le développement de partenariats entre des ONG françaises ou internationales et l’AFD, autour du cofinancement de projets innovants sur les différents secteurs qui touchent au développement. </w:t>
      </w:r>
      <w:r w:rsidRPr="007E0CE5">
        <w:rPr>
          <w:rFonts w:ascii="Calibri" w:eastAsia="Times New Roman" w:hAnsi="Calibri" w:cs="Calibri"/>
          <w:b/>
          <w:bCs/>
          <w:lang w:eastAsia="fr-FR"/>
        </w:rPr>
        <w:t>Le critère d’innovation constitue la spécificité du financement FISONG</w:t>
      </w:r>
      <w:r w:rsidRPr="003D67B7">
        <w:rPr>
          <w:rFonts w:ascii="Calibri" w:eastAsia="Times New Roman" w:hAnsi="Calibri" w:cs="Calibri"/>
          <w:lang w:eastAsia="fr-FR"/>
        </w:rPr>
        <w:t xml:space="preserve"> et à ce titre la FISONG se distingue des autres lignes de financements proposés par l’AFD aux ONG pour le</w:t>
      </w:r>
      <w:r w:rsidRPr="003D67B7">
        <w:rPr>
          <w:rFonts w:ascii="Calibri" w:eastAsia="Times New Roman" w:hAnsi="Calibri" w:cs="Calibri"/>
          <w:bCs/>
          <w:lang w:eastAsia="fr-FR"/>
        </w:rPr>
        <w:t xml:space="preserve"> cofinancement de leurs initiatives ou la prestation de services.</w:t>
      </w:r>
      <w:r w:rsidRPr="003D67B7">
        <w:rPr>
          <w:rFonts w:ascii="Calibri" w:eastAsia="Times New Roman" w:hAnsi="Calibri" w:cs="Calibri"/>
          <w:lang w:eastAsia="fr-FR"/>
        </w:rPr>
        <w:t xml:space="preserve"> Ainsi, ce mode de financement restreint le panel des projets susceptibles d’être financés à ceux qui proposent l’exploration de nouvelles manières de faire.</w:t>
      </w:r>
    </w:p>
    <w:p w14:paraId="6522B2C5" w14:textId="77777777" w:rsidR="003D67B7" w:rsidRPr="003D67B7" w:rsidRDefault="003D67B7" w:rsidP="00E908BA">
      <w:pPr>
        <w:spacing w:after="0" w:line="240" w:lineRule="auto"/>
        <w:ind w:left="540"/>
        <w:jc w:val="both"/>
        <w:rPr>
          <w:rFonts w:ascii="Calibri" w:eastAsia="Times New Roman" w:hAnsi="Calibri" w:cs="Calibri"/>
          <w:lang w:eastAsia="fr-FR"/>
        </w:rPr>
      </w:pPr>
      <w:r w:rsidRPr="003D67B7">
        <w:rPr>
          <w:rFonts w:ascii="Calibri" w:eastAsia="Times New Roman" w:hAnsi="Calibri" w:cs="Calibri"/>
          <w:lang w:eastAsia="fr-FR"/>
        </w:rPr>
        <w:t> </w:t>
      </w:r>
    </w:p>
    <w:p w14:paraId="7F311AA3" w14:textId="77777777" w:rsidR="003D67B7" w:rsidRPr="003D67B7" w:rsidRDefault="003D67B7" w:rsidP="00E908BA">
      <w:pPr>
        <w:spacing w:after="0" w:line="240" w:lineRule="auto"/>
        <w:jc w:val="both"/>
        <w:rPr>
          <w:rFonts w:ascii="Calibri" w:eastAsia="Times New Roman" w:hAnsi="Calibri" w:cs="Calibri"/>
          <w:lang w:eastAsia="fr-FR"/>
        </w:rPr>
      </w:pPr>
      <w:r w:rsidRPr="003D67B7">
        <w:rPr>
          <w:rFonts w:ascii="Calibri" w:eastAsia="Times New Roman" w:hAnsi="Calibri" w:cs="Calibri"/>
          <w:lang w:eastAsia="fr-FR"/>
        </w:rPr>
        <w:t>Par « innovation », l’AFD entend la recherche de nouveaux modes d’intervention apportant u</w:t>
      </w:r>
      <w:r w:rsidRPr="003D67B7">
        <w:rPr>
          <w:rFonts w:ascii="Calibri" w:eastAsia="Times New Roman" w:hAnsi="Calibri" w:cs="Calibri"/>
          <w:bCs/>
          <w:lang w:eastAsia="fr-FR"/>
        </w:rPr>
        <w:t>ne réelle plus-value dans les procédés techniques, méthodologiques, organisationnels et/ou de partenariats</w:t>
      </w:r>
      <w:r w:rsidRPr="003D67B7">
        <w:rPr>
          <w:rFonts w:ascii="Calibri" w:eastAsia="Times New Roman" w:hAnsi="Calibri" w:cs="Calibri"/>
          <w:lang w:eastAsia="fr-FR"/>
        </w:rPr>
        <w:t xml:space="preserve"> mis en œuvre, susceptibles de créer de nouvelles dynamiques et de jouer un rôle moteur dans un secteur précis du développement.</w:t>
      </w:r>
    </w:p>
    <w:p w14:paraId="19D7CEB6" w14:textId="77777777" w:rsidR="00E908BA" w:rsidRPr="00E908BA" w:rsidRDefault="00E908BA" w:rsidP="00E908BA">
      <w:pPr>
        <w:spacing w:after="0" w:line="240" w:lineRule="auto"/>
        <w:jc w:val="both"/>
        <w:rPr>
          <w:rFonts w:ascii="Calibri" w:eastAsia="Times New Roman" w:hAnsi="Calibri" w:cs="Calibri"/>
          <w:lang w:eastAsia="fr-FR"/>
        </w:rPr>
      </w:pPr>
    </w:p>
    <w:p w14:paraId="0721DA63" w14:textId="77777777" w:rsidR="003D67B7" w:rsidRPr="003D67B7" w:rsidRDefault="003D67B7" w:rsidP="00E908BA">
      <w:pPr>
        <w:spacing w:after="0" w:line="240" w:lineRule="auto"/>
        <w:jc w:val="both"/>
        <w:rPr>
          <w:rFonts w:ascii="Calibri" w:eastAsia="Times New Roman" w:hAnsi="Calibri" w:cs="Calibri"/>
          <w:lang w:eastAsia="fr-FR"/>
        </w:rPr>
      </w:pPr>
      <w:r w:rsidRPr="003D67B7">
        <w:rPr>
          <w:rFonts w:ascii="Calibri" w:eastAsia="Times New Roman" w:hAnsi="Calibri" w:cs="Calibri"/>
          <w:lang w:eastAsia="fr-FR"/>
        </w:rPr>
        <w:t xml:space="preserve">Ces processus novateurs peuvent correspondre </w:t>
      </w:r>
      <w:r w:rsidRPr="007E0CE5">
        <w:rPr>
          <w:rFonts w:ascii="Calibri" w:eastAsia="Times New Roman" w:hAnsi="Calibri" w:cs="Calibri"/>
          <w:b/>
          <w:bCs/>
          <w:lang w:eastAsia="fr-FR"/>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3D67B7">
        <w:rPr>
          <w:rFonts w:ascii="Calibri" w:eastAsia="Times New Roman" w:hAnsi="Calibri" w:cs="Calibri"/>
          <w:lang w:eastAsia="fr-FR"/>
        </w:rPr>
        <w:t>. Peuvent être considérées comme :</w:t>
      </w:r>
    </w:p>
    <w:p w14:paraId="38C3B945" w14:textId="77777777" w:rsidR="003D67B7" w:rsidRPr="003D67B7" w:rsidRDefault="003D67B7" w:rsidP="00E908BA">
      <w:pPr>
        <w:numPr>
          <w:ilvl w:val="0"/>
          <w:numId w:val="19"/>
        </w:numPr>
        <w:spacing w:before="120" w:after="120" w:line="240" w:lineRule="auto"/>
        <w:ind w:left="540"/>
        <w:jc w:val="both"/>
        <w:textAlignment w:val="center"/>
        <w:rPr>
          <w:rFonts w:ascii="Calibri" w:eastAsia="Times New Roman" w:hAnsi="Calibri" w:cs="Calibri"/>
          <w:lang w:eastAsia="fr-FR"/>
        </w:rPr>
      </w:pPr>
      <w:r w:rsidRPr="007E0CE5">
        <w:rPr>
          <w:rFonts w:ascii="Calibri" w:eastAsia="Times New Roman" w:hAnsi="Calibri" w:cs="Calibri"/>
          <w:b/>
          <w:bCs/>
          <w:lang w:eastAsia="fr-FR"/>
        </w:rPr>
        <w:t>Innovations conceptuelles</w:t>
      </w:r>
      <w:r w:rsidRPr="003D67B7">
        <w:rPr>
          <w:rFonts w:ascii="Calibri" w:eastAsia="Times New Roman" w:hAnsi="Calibri" w:cs="Calibri"/>
          <w:bCs/>
          <w:lang w:eastAsia="fr-FR"/>
        </w:rPr>
        <w:t xml:space="preserve"> : </w:t>
      </w:r>
      <w:r w:rsidRPr="003D67B7">
        <w:rPr>
          <w:rFonts w:ascii="Calibri" w:eastAsia="Times New Roman" w:hAnsi="Calibri" w:cs="Calibri"/>
          <w:lang w:eastAsia="fr-FR"/>
        </w:rPr>
        <w:t>la création de techniques, de formes d’organisations, de dispositifs d’action, etc.</w:t>
      </w:r>
    </w:p>
    <w:p w14:paraId="47A75379" w14:textId="77777777" w:rsidR="000803FD" w:rsidRPr="000803FD" w:rsidRDefault="003D67B7" w:rsidP="000803FD">
      <w:pPr>
        <w:numPr>
          <w:ilvl w:val="0"/>
          <w:numId w:val="19"/>
        </w:numPr>
        <w:spacing w:before="120" w:after="120" w:line="240" w:lineRule="auto"/>
        <w:ind w:left="540"/>
        <w:jc w:val="both"/>
        <w:textAlignment w:val="center"/>
        <w:rPr>
          <w:rFonts w:ascii="Calibri" w:eastAsia="Times New Roman" w:hAnsi="Calibri" w:cs="Calibri"/>
          <w:lang w:eastAsia="fr-FR"/>
        </w:rPr>
      </w:pPr>
      <w:r w:rsidRPr="007E0CE5">
        <w:rPr>
          <w:rFonts w:ascii="Calibri" w:eastAsia="Times New Roman" w:hAnsi="Calibri" w:cs="Calibri"/>
          <w:b/>
          <w:bCs/>
          <w:lang w:eastAsia="fr-FR"/>
        </w:rPr>
        <w:t>Innovations contextuelles</w:t>
      </w:r>
      <w:r w:rsidRPr="003D67B7">
        <w:rPr>
          <w:rFonts w:ascii="Calibri" w:eastAsia="Times New Roman" w:hAnsi="Calibri" w:cs="Calibri"/>
          <w:bCs/>
          <w:lang w:eastAsia="fr-FR"/>
        </w:rPr>
        <w:t xml:space="preserve"> : </w:t>
      </w:r>
      <w:r w:rsidRPr="003D67B7">
        <w:rPr>
          <w:rFonts w:ascii="Calibri" w:eastAsia="Times New Roman" w:hAnsi="Calibri" w:cs="Calibri"/>
          <w:lang w:eastAsia="fr-FR"/>
        </w:rPr>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793A26C4" w14:textId="77777777" w:rsidR="003D67B7" w:rsidRPr="003D67B7" w:rsidRDefault="003D67B7" w:rsidP="00E908BA">
      <w:pPr>
        <w:spacing w:after="0" w:line="240" w:lineRule="auto"/>
        <w:jc w:val="both"/>
        <w:rPr>
          <w:rFonts w:ascii="Calibri" w:eastAsia="Times New Roman" w:hAnsi="Calibri" w:cs="Calibri"/>
          <w:lang w:eastAsia="fr-FR"/>
        </w:rPr>
      </w:pPr>
      <w:r w:rsidRPr="003D67B7">
        <w:rPr>
          <w:rFonts w:ascii="Calibri" w:eastAsia="Times New Roman" w:hAnsi="Calibri" w:cs="Calibri"/>
          <w:lang w:eastAsia="fr-FR"/>
        </w:rPr>
        <w:t>La FISONG a pour objet de :</w:t>
      </w:r>
    </w:p>
    <w:p w14:paraId="46EE16ED" w14:textId="77777777" w:rsidR="003D67B7" w:rsidRPr="003D67B7" w:rsidRDefault="00E908BA" w:rsidP="00E908BA">
      <w:pPr>
        <w:numPr>
          <w:ilvl w:val="0"/>
          <w:numId w:val="20"/>
        </w:numPr>
        <w:spacing w:before="60" w:after="0" w:line="240" w:lineRule="auto"/>
        <w:ind w:left="540"/>
        <w:jc w:val="both"/>
        <w:textAlignment w:val="center"/>
        <w:rPr>
          <w:rFonts w:ascii="Calibri" w:eastAsia="Times New Roman" w:hAnsi="Calibri" w:cs="Calibri"/>
          <w:lang w:eastAsia="fr-FR"/>
        </w:rPr>
      </w:pPr>
      <w:r w:rsidRPr="003D67B7">
        <w:rPr>
          <w:rFonts w:ascii="Calibri" w:eastAsia="Times New Roman" w:hAnsi="Calibri" w:cs="Calibri"/>
          <w:lang w:eastAsia="fr-FR"/>
        </w:rPr>
        <w:t>Valoriser</w:t>
      </w:r>
      <w:r w:rsidR="003D67B7" w:rsidRPr="003D67B7">
        <w:rPr>
          <w:rFonts w:ascii="Calibri" w:eastAsia="Times New Roman" w:hAnsi="Calibri" w:cs="Calibri"/>
          <w:lang w:eastAsia="fr-FR"/>
        </w:rPr>
        <w:t xml:space="preserve"> et encourager les capacités d’innovation et de capitalisation des ONG ;</w:t>
      </w:r>
    </w:p>
    <w:p w14:paraId="36F26754" w14:textId="77777777" w:rsidR="003D67B7" w:rsidRPr="003D67B7" w:rsidRDefault="00E908BA" w:rsidP="00E908BA">
      <w:pPr>
        <w:numPr>
          <w:ilvl w:val="0"/>
          <w:numId w:val="20"/>
        </w:numPr>
        <w:spacing w:before="60" w:after="0" w:line="240" w:lineRule="auto"/>
        <w:ind w:left="540"/>
        <w:jc w:val="both"/>
        <w:textAlignment w:val="center"/>
        <w:rPr>
          <w:rFonts w:ascii="Calibri" w:eastAsia="Times New Roman" w:hAnsi="Calibri" w:cs="Calibri"/>
          <w:lang w:eastAsia="fr-FR"/>
        </w:rPr>
      </w:pPr>
      <w:r w:rsidRPr="003D67B7">
        <w:rPr>
          <w:rFonts w:ascii="Calibri" w:eastAsia="Times New Roman" w:hAnsi="Calibri" w:cs="Calibri"/>
          <w:lang w:eastAsia="fr-FR"/>
        </w:rPr>
        <w:t>Créer</w:t>
      </w:r>
      <w:r w:rsidR="003D67B7" w:rsidRPr="003D67B7">
        <w:rPr>
          <w:rFonts w:ascii="Calibri" w:eastAsia="Times New Roman" w:hAnsi="Calibri" w:cs="Calibri"/>
          <w:lang w:eastAsia="fr-FR"/>
        </w:rPr>
        <w:t xml:space="preserve"> des synergies entre l’AFD et les ONG pour améliorer la coordination des politiques publiques avec les initiatives de la coopération non gouvernementale ;</w:t>
      </w:r>
    </w:p>
    <w:p w14:paraId="0C72C435" w14:textId="662FCBA3" w:rsidR="003D67B7" w:rsidRPr="003D67B7" w:rsidRDefault="00E908BA" w:rsidP="00E908BA">
      <w:pPr>
        <w:numPr>
          <w:ilvl w:val="0"/>
          <w:numId w:val="20"/>
        </w:numPr>
        <w:spacing w:before="60" w:after="0" w:line="240" w:lineRule="auto"/>
        <w:ind w:left="540"/>
        <w:jc w:val="both"/>
        <w:textAlignment w:val="center"/>
        <w:rPr>
          <w:rFonts w:ascii="Calibri" w:eastAsia="Times New Roman" w:hAnsi="Calibri" w:cs="Calibri"/>
          <w:lang w:eastAsia="fr-FR"/>
        </w:rPr>
      </w:pPr>
      <w:r w:rsidRPr="003D67B7">
        <w:rPr>
          <w:rFonts w:ascii="Calibri" w:eastAsia="Times New Roman" w:hAnsi="Calibri" w:cs="Calibri"/>
          <w:lang w:eastAsia="fr-FR"/>
        </w:rPr>
        <w:t>Renforcer</w:t>
      </w:r>
      <w:r w:rsidR="003D67B7" w:rsidRPr="003D67B7">
        <w:rPr>
          <w:rFonts w:ascii="Calibri" w:eastAsia="Times New Roman" w:hAnsi="Calibri" w:cs="Calibri"/>
          <w:lang w:eastAsia="fr-FR"/>
        </w:rPr>
        <w:t xml:space="preserve"> le partenariat avec les ONG comme vecteurs d’aide adaptés à des situations d’absence ou de défaillance des maîtrises d’ouvrages publiques.</w:t>
      </w:r>
    </w:p>
    <w:p w14:paraId="7CFE87ED" w14:textId="7355DCC1" w:rsidR="000545FF" w:rsidRDefault="000545FF" w:rsidP="007E0CE5">
      <w:pPr>
        <w:spacing w:after="0" w:line="240" w:lineRule="auto"/>
        <w:jc w:val="both"/>
        <w:rPr>
          <w:rFonts w:ascii="Calibri" w:eastAsia="Times New Roman" w:hAnsi="Calibri" w:cs="Calibri"/>
          <w:lang w:eastAsia="fr-FR"/>
        </w:rPr>
      </w:pPr>
    </w:p>
    <w:p w14:paraId="5551E5E0" w14:textId="77777777" w:rsidR="00DB0759" w:rsidRPr="00491397" w:rsidRDefault="00DB0759" w:rsidP="00DB0759">
      <w:pPr>
        <w:tabs>
          <w:tab w:val="num" w:pos="180"/>
        </w:tabs>
      </w:pPr>
      <w:r w:rsidRPr="00491397">
        <w:t xml:space="preserve">Depuis </w:t>
      </w:r>
      <w:r>
        <w:t>2008,</w:t>
      </w:r>
      <w:r w:rsidRPr="005537B8">
        <w:t xml:space="preserve"> </w:t>
      </w:r>
      <w:r>
        <w:t xml:space="preserve">35 </w:t>
      </w:r>
      <w:r w:rsidRPr="005537B8">
        <w:t xml:space="preserve">appels à propositions ont été lancés, </w:t>
      </w:r>
      <w:r>
        <w:t>93</w:t>
      </w:r>
      <w:r w:rsidRPr="005537B8">
        <w:t xml:space="preserve"> projets retenus pour un financement total d’environ </w:t>
      </w:r>
      <w:r>
        <w:t>63,3</w:t>
      </w:r>
      <w:r w:rsidRPr="005537B8">
        <w:t xml:space="preserve"> millions d’euros (6</w:t>
      </w:r>
      <w:r>
        <w:t>8</w:t>
      </w:r>
      <w:r w:rsidRPr="005537B8">
        <w:t>0 000 euros en moyenne par projet).</w:t>
      </w:r>
    </w:p>
    <w:p w14:paraId="7562203D" w14:textId="30F16CC5" w:rsidR="007E0CE5" w:rsidRPr="007E0CE5" w:rsidRDefault="007E0CE5" w:rsidP="007E0CE5">
      <w:r w:rsidRPr="00491397">
        <w:t xml:space="preserve">Pour en savoir plus sur l’outil FISONG : </w:t>
      </w:r>
      <w:hyperlink r:id="rId9" w:history="1">
        <w:r>
          <w:rPr>
            <w:rStyle w:val="Lienhypertexte"/>
          </w:rPr>
          <w:t>https://www.afd.fr/fr/les-financements-des-projets-des-ong</w:t>
        </w:r>
      </w:hyperlink>
      <w:r>
        <w:t xml:space="preserve"> </w:t>
      </w:r>
    </w:p>
    <w:p w14:paraId="188EA941" w14:textId="31E336AE" w:rsidR="007E0CE5" w:rsidRDefault="00402703" w:rsidP="007E0CE5">
      <w:pPr>
        <w:pStyle w:val="Titre1"/>
        <w:rPr>
          <w:rFonts w:eastAsia="Times New Roman"/>
          <w:lang w:eastAsia="fr-FR"/>
        </w:rPr>
      </w:pPr>
      <w:bookmarkStart w:id="2" w:name="_Toc55391555"/>
      <w:r>
        <w:rPr>
          <w:rFonts w:eastAsia="Times New Roman"/>
          <w:lang w:eastAsia="fr-FR"/>
        </w:rPr>
        <w:t>2</w:t>
      </w:r>
      <w:r w:rsidR="007E0CE5">
        <w:rPr>
          <w:rFonts w:eastAsia="Times New Roman"/>
          <w:lang w:eastAsia="fr-FR"/>
        </w:rPr>
        <w:t>. Cadrage général de l’appel à propositions FISONG 2021</w:t>
      </w:r>
      <w:bookmarkEnd w:id="2"/>
    </w:p>
    <w:p w14:paraId="044747FB" w14:textId="6CCEC856" w:rsidR="00EE37CE" w:rsidRDefault="00EE37CE" w:rsidP="001273AB">
      <w:pPr>
        <w:spacing w:after="0" w:line="240" w:lineRule="auto"/>
        <w:jc w:val="both"/>
        <w:rPr>
          <w:rFonts w:ascii="Calibri" w:eastAsia="Times New Roman" w:hAnsi="Calibri" w:cs="Calibri"/>
          <w:b/>
          <w:bCs/>
          <w:lang w:eastAsia="fr-FR"/>
        </w:rPr>
      </w:pPr>
    </w:p>
    <w:p w14:paraId="53E870EB" w14:textId="79E06341" w:rsidR="00F02EC0" w:rsidRPr="00F02EC0" w:rsidRDefault="00F02EC0" w:rsidP="001273AB">
      <w:pPr>
        <w:spacing w:after="0" w:line="240" w:lineRule="auto"/>
        <w:jc w:val="both"/>
        <w:rPr>
          <w:rFonts w:ascii="Calibri" w:eastAsia="Times New Roman" w:hAnsi="Calibri" w:cs="Calibri"/>
          <w:bCs/>
          <w:lang w:eastAsia="fr-FR"/>
        </w:rPr>
      </w:pPr>
      <w:r w:rsidRPr="00F02EC0">
        <w:rPr>
          <w:rFonts w:ascii="Calibri" w:eastAsia="Times New Roman" w:hAnsi="Calibri" w:cs="Calibri"/>
          <w:lang w:eastAsia="fr-FR"/>
        </w:rPr>
        <w:t>L’édition 2021 de la FISONG porte sur l’inclusion financière des réfugié</w:t>
      </w:r>
      <w:r w:rsidR="00483364">
        <w:rPr>
          <w:rFonts w:ascii="Calibri" w:eastAsia="Times New Roman" w:hAnsi="Calibri" w:cs="Calibri"/>
          <w:lang w:eastAsia="fr-FR"/>
        </w:rPr>
        <w:t>-e-</w:t>
      </w:r>
      <w:r w:rsidRPr="00F02EC0">
        <w:rPr>
          <w:rFonts w:ascii="Calibri" w:eastAsia="Times New Roman" w:hAnsi="Calibri" w:cs="Calibri"/>
          <w:lang w:eastAsia="fr-FR"/>
        </w:rPr>
        <w:t>s, déplacé</w:t>
      </w:r>
      <w:r w:rsidR="00483364">
        <w:rPr>
          <w:rFonts w:ascii="Calibri" w:eastAsia="Times New Roman" w:hAnsi="Calibri" w:cs="Calibri"/>
          <w:lang w:eastAsia="fr-FR"/>
        </w:rPr>
        <w:t>-e-</w:t>
      </w:r>
      <w:r w:rsidRPr="00F02EC0">
        <w:rPr>
          <w:rFonts w:ascii="Calibri" w:eastAsia="Times New Roman" w:hAnsi="Calibri" w:cs="Calibri"/>
          <w:lang w:eastAsia="fr-FR"/>
        </w:rPr>
        <w:t>s</w:t>
      </w:r>
      <w:r w:rsidR="00DB0759">
        <w:rPr>
          <w:rFonts w:ascii="Calibri" w:eastAsia="Times New Roman" w:hAnsi="Calibri" w:cs="Calibri"/>
          <w:lang w:eastAsia="fr-FR"/>
        </w:rPr>
        <w:t xml:space="preserve"> </w:t>
      </w:r>
      <w:r w:rsidRPr="00F02EC0">
        <w:rPr>
          <w:rFonts w:ascii="Calibri" w:eastAsia="Times New Roman" w:hAnsi="Calibri" w:cs="Calibri"/>
          <w:lang w:eastAsia="fr-FR"/>
        </w:rPr>
        <w:t>ou migrant</w:t>
      </w:r>
      <w:r w:rsidR="00483364">
        <w:rPr>
          <w:rFonts w:ascii="Calibri" w:eastAsia="Times New Roman" w:hAnsi="Calibri" w:cs="Calibri"/>
          <w:lang w:eastAsia="fr-FR"/>
        </w:rPr>
        <w:t>-e-</w:t>
      </w:r>
      <w:r w:rsidRPr="00F02EC0">
        <w:rPr>
          <w:rFonts w:ascii="Calibri" w:eastAsia="Times New Roman" w:hAnsi="Calibri" w:cs="Calibri"/>
          <w:lang w:eastAsia="fr-FR"/>
        </w:rPr>
        <w:t>s temporaires intracontinentaux.</w:t>
      </w:r>
      <w:r w:rsidRPr="00F02EC0">
        <w:rPr>
          <w:rFonts w:ascii="Calibri" w:eastAsia="Times New Roman" w:hAnsi="Calibri" w:cs="Calibri"/>
          <w:bCs/>
          <w:lang w:eastAsia="fr-FR"/>
        </w:rPr>
        <w:t xml:space="preserve"> </w:t>
      </w:r>
    </w:p>
    <w:p w14:paraId="2D0FA5F6" w14:textId="36D57A2A" w:rsidR="00F02EC0" w:rsidRDefault="00F02EC0" w:rsidP="001273AB">
      <w:pPr>
        <w:spacing w:after="0" w:line="240" w:lineRule="auto"/>
        <w:jc w:val="both"/>
        <w:rPr>
          <w:rFonts w:ascii="Calibri" w:eastAsia="Times New Roman" w:hAnsi="Calibri" w:cs="Calibri"/>
          <w:b/>
          <w:bCs/>
          <w:lang w:eastAsia="fr-FR"/>
        </w:rPr>
      </w:pPr>
    </w:p>
    <w:p w14:paraId="01E62812" w14:textId="11738139" w:rsidR="000545FF" w:rsidRPr="00402703" w:rsidRDefault="000545FF" w:rsidP="000545FF">
      <w:pPr>
        <w:pStyle w:val="Titre2"/>
        <w:ind w:firstLine="360"/>
        <w:rPr>
          <w:rFonts w:eastAsia="Times New Roman"/>
          <w:lang w:eastAsia="fr-FR"/>
        </w:rPr>
      </w:pPr>
      <w:bookmarkStart w:id="3" w:name="_Toc55391556"/>
      <w:r>
        <w:rPr>
          <w:rFonts w:eastAsia="Times New Roman"/>
          <w:lang w:eastAsia="fr-FR"/>
        </w:rPr>
        <w:t xml:space="preserve">2.1. </w:t>
      </w:r>
      <w:r w:rsidRPr="00402703">
        <w:rPr>
          <w:rFonts w:eastAsia="Times New Roman"/>
          <w:lang w:eastAsia="fr-FR"/>
        </w:rPr>
        <w:t>Caractér</w:t>
      </w:r>
      <w:r>
        <w:rPr>
          <w:rFonts w:eastAsia="Times New Roman"/>
          <w:lang w:eastAsia="fr-FR"/>
        </w:rPr>
        <w:t>isation de la population cible et diversité des contextes d’intervention</w:t>
      </w:r>
      <w:bookmarkEnd w:id="3"/>
    </w:p>
    <w:p w14:paraId="759BE1A6" w14:textId="77777777" w:rsidR="000545FF" w:rsidRDefault="000545FF" w:rsidP="000545FF">
      <w:pPr>
        <w:spacing w:after="0" w:line="240" w:lineRule="auto"/>
        <w:jc w:val="both"/>
        <w:rPr>
          <w:rFonts w:ascii="Calibri" w:eastAsia="Times New Roman" w:hAnsi="Calibri" w:cs="Calibri"/>
          <w:bCs/>
          <w:lang w:eastAsia="fr-FR"/>
        </w:rPr>
      </w:pPr>
    </w:p>
    <w:p w14:paraId="09FD3DEF" w14:textId="78BED082" w:rsidR="00865997" w:rsidRDefault="000545FF" w:rsidP="000545FF">
      <w:p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 xml:space="preserve">La catégorie des </w:t>
      </w:r>
      <w:r w:rsidRPr="00402703">
        <w:rPr>
          <w:rFonts w:ascii="Calibri" w:eastAsia="Times New Roman" w:hAnsi="Calibri" w:cs="Calibri"/>
          <w:bCs/>
          <w:lang w:eastAsia="fr-FR"/>
        </w:rPr>
        <w:t>réfugié</w:t>
      </w:r>
      <w:r w:rsidR="00483364">
        <w:rPr>
          <w:rFonts w:ascii="Calibri" w:eastAsia="Times New Roman" w:hAnsi="Calibri" w:cs="Calibri"/>
          <w:bCs/>
          <w:lang w:eastAsia="fr-FR"/>
        </w:rPr>
        <w:t>-e-</w:t>
      </w:r>
      <w:r w:rsidRPr="00402703">
        <w:rPr>
          <w:rFonts w:ascii="Calibri" w:eastAsia="Times New Roman" w:hAnsi="Calibri" w:cs="Calibri"/>
          <w:bCs/>
          <w:lang w:eastAsia="fr-FR"/>
        </w:rPr>
        <w:t>s, déplacé</w:t>
      </w:r>
      <w:r w:rsidR="00483364">
        <w:rPr>
          <w:rFonts w:ascii="Calibri" w:eastAsia="Times New Roman" w:hAnsi="Calibri" w:cs="Calibri"/>
          <w:bCs/>
          <w:lang w:eastAsia="fr-FR"/>
        </w:rPr>
        <w:t>-e-</w:t>
      </w:r>
      <w:r w:rsidRPr="00402703">
        <w:rPr>
          <w:rFonts w:ascii="Calibri" w:eastAsia="Times New Roman" w:hAnsi="Calibri" w:cs="Calibri"/>
          <w:bCs/>
          <w:lang w:eastAsia="fr-FR"/>
        </w:rPr>
        <w:t>s ou migrant</w:t>
      </w:r>
      <w:r w:rsidR="00483364">
        <w:rPr>
          <w:rFonts w:ascii="Calibri" w:eastAsia="Times New Roman" w:hAnsi="Calibri" w:cs="Calibri"/>
          <w:bCs/>
          <w:lang w:eastAsia="fr-FR"/>
        </w:rPr>
        <w:t>-e-</w:t>
      </w:r>
      <w:r w:rsidRPr="00402703">
        <w:rPr>
          <w:rFonts w:ascii="Calibri" w:eastAsia="Times New Roman" w:hAnsi="Calibri" w:cs="Calibri"/>
          <w:bCs/>
          <w:lang w:eastAsia="fr-FR"/>
        </w:rPr>
        <w:t>s</w:t>
      </w:r>
      <w:r>
        <w:rPr>
          <w:rFonts w:ascii="Calibri" w:eastAsia="Times New Roman" w:hAnsi="Calibri" w:cs="Calibri"/>
          <w:bCs/>
          <w:lang w:eastAsia="fr-FR"/>
        </w:rPr>
        <w:t xml:space="preserve"> temporaires intracontinentaux est vaste et recoupe des réalités différenciées. Cet appel à projets ne </w:t>
      </w:r>
      <w:r w:rsidR="00135B96">
        <w:rPr>
          <w:rFonts w:ascii="Calibri" w:eastAsia="Times New Roman" w:hAnsi="Calibri" w:cs="Calibri"/>
          <w:bCs/>
          <w:lang w:eastAsia="fr-FR"/>
        </w:rPr>
        <w:t xml:space="preserve">circonscrit </w:t>
      </w:r>
      <w:r>
        <w:rPr>
          <w:rFonts w:ascii="Calibri" w:eastAsia="Times New Roman" w:hAnsi="Calibri" w:cs="Calibri"/>
          <w:bCs/>
          <w:lang w:eastAsia="fr-FR"/>
        </w:rPr>
        <w:t>pas le public cible aux populations déplacées de force (</w:t>
      </w:r>
      <w:r w:rsidRPr="00C607E2">
        <w:rPr>
          <w:rFonts w:ascii="Calibri" w:eastAsia="Times New Roman" w:hAnsi="Calibri" w:cs="Calibri"/>
          <w:bCs/>
          <w:i/>
          <w:lang w:eastAsia="fr-FR"/>
        </w:rPr>
        <w:t>Forcibly Displaced Persons</w:t>
      </w:r>
      <w:r>
        <w:rPr>
          <w:rFonts w:ascii="Calibri" w:eastAsia="Times New Roman" w:hAnsi="Calibri" w:cs="Calibri"/>
          <w:bCs/>
          <w:lang w:eastAsia="fr-FR"/>
        </w:rPr>
        <w:t>), qu’elles aient ou non le statut de réfugié</w:t>
      </w:r>
      <w:r w:rsidR="00483364">
        <w:rPr>
          <w:rFonts w:ascii="Calibri" w:eastAsia="Times New Roman" w:hAnsi="Calibri" w:cs="Calibri"/>
          <w:bCs/>
          <w:lang w:eastAsia="fr-FR"/>
        </w:rPr>
        <w:t>-e</w:t>
      </w:r>
      <w:r>
        <w:rPr>
          <w:rFonts w:ascii="Calibri" w:eastAsia="Times New Roman" w:hAnsi="Calibri" w:cs="Calibri"/>
          <w:bCs/>
          <w:lang w:eastAsia="fr-FR"/>
        </w:rPr>
        <w:t xml:space="preserve">. Le motif de la migration peut être aussi bien politique que socio-économique, des déplacements liés à des </w:t>
      </w:r>
      <w:r>
        <w:rPr>
          <w:rFonts w:ascii="Calibri" w:eastAsia="Times New Roman" w:hAnsi="Calibri" w:cs="Calibri"/>
          <w:bCs/>
          <w:lang w:eastAsia="fr-FR"/>
        </w:rPr>
        <w:lastRenderedPageBreak/>
        <w:t>dynamiques d’exode rural par exemple. C’est pourquoi la suite de la présente note emploiera le terme général de « migrant</w:t>
      </w:r>
      <w:r w:rsidR="00483364">
        <w:rPr>
          <w:rFonts w:ascii="Calibri" w:eastAsia="Times New Roman" w:hAnsi="Calibri" w:cs="Calibri"/>
          <w:bCs/>
          <w:lang w:eastAsia="fr-FR"/>
        </w:rPr>
        <w:t>-e-</w:t>
      </w:r>
      <w:r>
        <w:rPr>
          <w:rFonts w:ascii="Calibri" w:eastAsia="Times New Roman" w:hAnsi="Calibri" w:cs="Calibri"/>
          <w:bCs/>
          <w:lang w:eastAsia="fr-FR"/>
        </w:rPr>
        <w:t>s » pour désigner le public cible</w:t>
      </w:r>
      <w:r w:rsidR="00141887">
        <w:rPr>
          <w:rFonts w:ascii="Calibri" w:eastAsia="Times New Roman" w:hAnsi="Calibri" w:cs="Calibri"/>
          <w:bCs/>
          <w:lang w:eastAsia="fr-FR"/>
        </w:rPr>
        <w:t>.</w:t>
      </w:r>
      <w:r w:rsidR="00865997">
        <w:rPr>
          <w:rFonts w:ascii="Calibri" w:eastAsia="Times New Roman" w:hAnsi="Calibri" w:cs="Calibri"/>
          <w:bCs/>
          <w:lang w:eastAsia="fr-FR"/>
        </w:rPr>
        <w:t xml:space="preserve"> Cet appel à projets s’intéresse particulièrement aux migrations transfrontalières, mais celles-ci, forcées ou non, peuvent aussi être internes.</w:t>
      </w:r>
    </w:p>
    <w:p w14:paraId="606D2028" w14:textId="52A980F7" w:rsidR="000545FF" w:rsidRDefault="00F336F0" w:rsidP="000545FF">
      <w:p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 xml:space="preserve"> </w:t>
      </w:r>
    </w:p>
    <w:p w14:paraId="36BC6BA2" w14:textId="117C1D6D" w:rsidR="000545FF" w:rsidRDefault="000545FF" w:rsidP="001273AB">
      <w:pPr>
        <w:spacing w:after="0" w:line="240" w:lineRule="auto"/>
        <w:jc w:val="both"/>
        <w:rPr>
          <w:rFonts w:ascii="Calibri" w:eastAsia="Times New Roman" w:hAnsi="Calibri" w:cs="Calibri"/>
          <w:b/>
          <w:bCs/>
          <w:lang w:eastAsia="fr-FR"/>
        </w:rPr>
      </w:pPr>
      <w:r>
        <w:rPr>
          <w:rFonts w:ascii="Calibri" w:eastAsia="Times New Roman" w:hAnsi="Calibri" w:cs="Calibri"/>
          <w:bCs/>
          <w:lang w:eastAsia="fr-FR"/>
        </w:rPr>
        <w:t>Puisque cette FISONG ne délimite pas un segment de population ayant un statut politique et juridique particulier, les contextes d’intervention des projets peuvent être d’une grande diversité. Les populations migrantes peuvent recouvrir des réalités très différentes selon l’origine des migrant</w:t>
      </w:r>
      <w:r w:rsidR="00483364">
        <w:rPr>
          <w:rFonts w:ascii="Calibri" w:eastAsia="Times New Roman" w:hAnsi="Calibri" w:cs="Calibri"/>
          <w:bCs/>
          <w:lang w:eastAsia="fr-FR"/>
        </w:rPr>
        <w:t>-e-</w:t>
      </w:r>
      <w:r>
        <w:rPr>
          <w:rFonts w:ascii="Calibri" w:eastAsia="Times New Roman" w:hAnsi="Calibri" w:cs="Calibri"/>
          <w:bCs/>
          <w:lang w:eastAsia="fr-FR"/>
        </w:rPr>
        <w:t>s, les motivations de la migration, l’étape à laquelle elles se trouvent dans leur parcours migratoire, leur localisation (milieu urbain, milieu rural, camps de réfugié</w:t>
      </w:r>
      <w:r w:rsidR="00483364">
        <w:rPr>
          <w:rFonts w:ascii="Calibri" w:eastAsia="Times New Roman" w:hAnsi="Calibri" w:cs="Calibri"/>
          <w:bCs/>
          <w:lang w:eastAsia="fr-FR"/>
        </w:rPr>
        <w:t>-e-</w:t>
      </w:r>
      <w:r>
        <w:rPr>
          <w:rFonts w:ascii="Calibri" w:eastAsia="Times New Roman" w:hAnsi="Calibri" w:cs="Calibri"/>
          <w:bCs/>
          <w:lang w:eastAsia="fr-FR"/>
        </w:rPr>
        <w:t>s), leur statut (réfugié</w:t>
      </w:r>
      <w:r w:rsidR="00483364">
        <w:rPr>
          <w:rFonts w:ascii="Calibri" w:eastAsia="Times New Roman" w:hAnsi="Calibri" w:cs="Calibri"/>
          <w:bCs/>
          <w:lang w:eastAsia="fr-FR"/>
        </w:rPr>
        <w:t>-e-</w:t>
      </w:r>
      <w:r>
        <w:rPr>
          <w:rFonts w:ascii="Calibri" w:eastAsia="Times New Roman" w:hAnsi="Calibri" w:cs="Calibri"/>
          <w:bCs/>
          <w:lang w:eastAsia="fr-FR"/>
        </w:rPr>
        <w:t xml:space="preserve">s, travailleurs </w:t>
      </w:r>
      <w:r w:rsidR="00483364">
        <w:rPr>
          <w:rFonts w:ascii="Calibri" w:eastAsia="Times New Roman" w:hAnsi="Calibri" w:cs="Calibri"/>
          <w:bCs/>
          <w:lang w:eastAsia="fr-FR"/>
        </w:rPr>
        <w:t xml:space="preserve">et travailleuses </w:t>
      </w:r>
      <w:r>
        <w:rPr>
          <w:rFonts w:ascii="Calibri" w:eastAsia="Times New Roman" w:hAnsi="Calibri" w:cs="Calibri"/>
          <w:bCs/>
          <w:lang w:eastAsia="fr-FR"/>
        </w:rPr>
        <w:t>migrant</w:t>
      </w:r>
      <w:r w:rsidR="00483364">
        <w:rPr>
          <w:rFonts w:ascii="Calibri" w:eastAsia="Times New Roman" w:hAnsi="Calibri" w:cs="Calibri"/>
          <w:bCs/>
          <w:lang w:eastAsia="fr-FR"/>
        </w:rPr>
        <w:t>-e-</w:t>
      </w:r>
      <w:r>
        <w:rPr>
          <w:rFonts w:ascii="Calibri" w:eastAsia="Times New Roman" w:hAnsi="Calibri" w:cs="Calibri"/>
          <w:bCs/>
          <w:lang w:eastAsia="fr-FR"/>
        </w:rPr>
        <w:t>s…) mais également leurs caractéristiques sociales propres (âge, genre,</w:t>
      </w:r>
      <w:r w:rsidR="007D734C">
        <w:rPr>
          <w:rFonts w:ascii="Calibri" w:eastAsia="Times New Roman" w:hAnsi="Calibri" w:cs="Calibri"/>
          <w:bCs/>
          <w:lang w:eastAsia="fr-FR"/>
        </w:rPr>
        <w:t xml:space="preserve"> etc.</w:t>
      </w:r>
      <w:r>
        <w:rPr>
          <w:rFonts w:ascii="Calibri" w:eastAsia="Times New Roman" w:hAnsi="Calibri" w:cs="Calibri"/>
          <w:bCs/>
          <w:lang w:eastAsia="fr-FR"/>
        </w:rPr>
        <w:t>)</w:t>
      </w:r>
      <w:r w:rsidR="00483364">
        <w:rPr>
          <w:rFonts w:ascii="Calibri" w:eastAsia="Times New Roman" w:hAnsi="Calibri" w:cs="Calibri"/>
          <w:bCs/>
          <w:lang w:eastAsia="fr-FR"/>
        </w:rPr>
        <w:t>, ces caractéristiques ayant un impact fort sur leur situation de migration</w:t>
      </w:r>
      <w:r>
        <w:rPr>
          <w:rFonts w:ascii="Calibri" w:eastAsia="Times New Roman" w:hAnsi="Calibri" w:cs="Calibri"/>
          <w:bCs/>
          <w:lang w:eastAsia="fr-FR"/>
        </w:rPr>
        <w:t>.</w:t>
      </w:r>
      <w:r w:rsidR="00965D55">
        <w:rPr>
          <w:rFonts w:ascii="Calibri" w:eastAsia="Times New Roman" w:hAnsi="Calibri" w:cs="Calibri"/>
          <w:bCs/>
          <w:lang w:eastAsia="fr-FR"/>
        </w:rPr>
        <w:t xml:space="preserve"> </w:t>
      </w:r>
      <w:r>
        <w:rPr>
          <w:rFonts w:ascii="Calibri" w:eastAsia="Times New Roman" w:hAnsi="Calibri" w:cs="Calibri"/>
          <w:bCs/>
          <w:lang w:eastAsia="fr-FR"/>
        </w:rPr>
        <w:t>Autant de paramètres qui influent sur la nature de leurs besoins et objectifs de développement (accès aux biens et services de base, renforcement de la résilience, développement d’une activité économique, etc.) et, donc, sur leur demande de services financiers et non financiers permettant d’y répondre. En fonction des zones géographiques ciblées, celle-ci pourra également dépendre de ce que permet la réglementation locale (statut, accès à la documentation civile…) et de l’environnement politique.</w:t>
      </w:r>
      <w:r w:rsidR="00AB6665">
        <w:rPr>
          <w:rFonts w:ascii="Calibri" w:eastAsia="Times New Roman" w:hAnsi="Calibri" w:cs="Calibri"/>
          <w:bCs/>
          <w:lang w:eastAsia="fr-FR"/>
        </w:rPr>
        <w:t xml:space="preserve"> Enfin, les femmes, qui </w:t>
      </w:r>
      <w:r w:rsidR="00AB6665" w:rsidRPr="00965D55">
        <w:rPr>
          <w:rFonts w:ascii="Calibri" w:eastAsia="Times New Roman" w:hAnsi="Calibri" w:cs="Calibri"/>
          <w:bCs/>
          <w:lang w:eastAsia="fr-FR"/>
        </w:rPr>
        <w:t xml:space="preserve">représentent environ </w:t>
      </w:r>
      <w:r w:rsidR="00AB6665">
        <w:rPr>
          <w:rFonts w:ascii="Calibri" w:eastAsia="Times New Roman" w:hAnsi="Calibri" w:cs="Calibri"/>
          <w:bCs/>
          <w:lang w:eastAsia="fr-FR"/>
        </w:rPr>
        <w:t>la moitié de la</w:t>
      </w:r>
      <w:r w:rsidR="00AB6665" w:rsidRPr="00965D55">
        <w:rPr>
          <w:rFonts w:ascii="Calibri" w:eastAsia="Times New Roman" w:hAnsi="Calibri" w:cs="Calibri"/>
          <w:bCs/>
          <w:lang w:eastAsia="fr-FR"/>
        </w:rPr>
        <w:t xml:space="preserve"> population </w:t>
      </w:r>
      <w:r w:rsidR="00AB6665">
        <w:rPr>
          <w:rFonts w:ascii="Calibri" w:eastAsia="Times New Roman" w:hAnsi="Calibri" w:cs="Calibri"/>
          <w:bCs/>
          <w:lang w:eastAsia="fr-FR"/>
        </w:rPr>
        <w:t>de réfugié</w:t>
      </w:r>
      <w:r w:rsidR="00483364">
        <w:rPr>
          <w:rFonts w:ascii="Calibri" w:eastAsia="Times New Roman" w:hAnsi="Calibri" w:cs="Calibri"/>
          <w:bCs/>
          <w:lang w:eastAsia="fr-FR"/>
        </w:rPr>
        <w:t>-e-</w:t>
      </w:r>
      <w:r w:rsidR="00AB6665">
        <w:rPr>
          <w:rFonts w:ascii="Calibri" w:eastAsia="Times New Roman" w:hAnsi="Calibri" w:cs="Calibri"/>
          <w:bCs/>
          <w:lang w:eastAsia="fr-FR"/>
        </w:rPr>
        <w:t>s et</w:t>
      </w:r>
      <w:r w:rsidR="00AB6665" w:rsidRPr="00965D55">
        <w:rPr>
          <w:rFonts w:ascii="Calibri" w:eastAsia="Times New Roman" w:hAnsi="Calibri" w:cs="Calibri"/>
          <w:bCs/>
          <w:lang w:eastAsia="fr-FR"/>
        </w:rPr>
        <w:t xml:space="preserve"> déplacé</w:t>
      </w:r>
      <w:r w:rsidR="00483364">
        <w:rPr>
          <w:rFonts w:ascii="Calibri" w:eastAsia="Times New Roman" w:hAnsi="Calibri" w:cs="Calibri"/>
          <w:bCs/>
          <w:lang w:eastAsia="fr-FR"/>
        </w:rPr>
        <w:t>-e-</w:t>
      </w:r>
      <w:r w:rsidR="00AB6665" w:rsidRPr="00965D55">
        <w:rPr>
          <w:rFonts w:ascii="Calibri" w:eastAsia="Times New Roman" w:hAnsi="Calibri" w:cs="Calibri"/>
          <w:bCs/>
          <w:lang w:eastAsia="fr-FR"/>
        </w:rPr>
        <w:t>s</w:t>
      </w:r>
      <w:r w:rsidR="00D936D4">
        <w:rPr>
          <w:rFonts w:ascii="Calibri" w:eastAsia="Times New Roman" w:hAnsi="Calibri" w:cs="Calibri"/>
          <w:bCs/>
          <w:lang w:eastAsia="fr-FR"/>
        </w:rPr>
        <w:t>,</w:t>
      </w:r>
      <w:r w:rsidR="00AB6665" w:rsidRPr="00965D55">
        <w:rPr>
          <w:rFonts w:ascii="Calibri" w:eastAsia="Times New Roman" w:hAnsi="Calibri" w:cs="Calibri"/>
          <w:bCs/>
          <w:lang w:eastAsia="fr-FR"/>
        </w:rPr>
        <w:t xml:space="preserve"> </w:t>
      </w:r>
      <w:r w:rsidR="00AB6665">
        <w:rPr>
          <w:rFonts w:ascii="Calibri" w:eastAsia="Times New Roman" w:hAnsi="Calibri" w:cs="Calibri"/>
          <w:bCs/>
          <w:lang w:eastAsia="fr-FR"/>
        </w:rPr>
        <w:t xml:space="preserve">peuvent se retrouver dans une situation de vulnérabilité plus importante encore que le reste de cette population dès lors qu’elles sont susceptibles de faire l’objet de discriminations spécifiques ou de violences basées sur le genre. Ceci est particulièrement vrai pour </w:t>
      </w:r>
      <w:r w:rsidR="00AB6665" w:rsidRPr="00965D55">
        <w:rPr>
          <w:rFonts w:ascii="Calibri" w:eastAsia="Times New Roman" w:hAnsi="Calibri" w:cs="Calibri"/>
          <w:bCs/>
          <w:lang w:eastAsia="fr-FR"/>
        </w:rPr>
        <w:t>celles qui sont non accompagnées, enceintes, chef</w:t>
      </w:r>
      <w:r w:rsidR="00483364">
        <w:rPr>
          <w:rFonts w:ascii="Calibri" w:eastAsia="Times New Roman" w:hAnsi="Calibri" w:cs="Calibri"/>
          <w:bCs/>
          <w:lang w:eastAsia="fr-FR"/>
        </w:rPr>
        <w:t>fe</w:t>
      </w:r>
      <w:r w:rsidR="00AB6665" w:rsidRPr="00965D55">
        <w:rPr>
          <w:rFonts w:ascii="Calibri" w:eastAsia="Times New Roman" w:hAnsi="Calibri" w:cs="Calibri"/>
          <w:bCs/>
          <w:lang w:eastAsia="fr-FR"/>
        </w:rPr>
        <w:t>s de famille, handicapées ou âgées.</w:t>
      </w:r>
      <w:r w:rsidR="00C62BC4">
        <w:rPr>
          <w:rFonts w:ascii="Calibri" w:eastAsia="Times New Roman" w:hAnsi="Calibri" w:cs="Calibri"/>
          <w:bCs/>
          <w:lang w:eastAsia="fr-FR"/>
        </w:rPr>
        <w:t xml:space="preserve"> </w:t>
      </w:r>
      <w:r w:rsidR="00C62BC4" w:rsidRPr="00C62BC4">
        <w:t xml:space="preserve"> </w:t>
      </w:r>
      <w:r w:rsidR="00C62BC4">
        <w:t xml:space="preserve">Dans certains cas les femmes migrent pour les mêmes raisons que les hommes (étudier, travailler, cherche un abri, subvenir aux besoins de sa famille…) mais dans d’autres cas elles migrent pour se mettre à l’abri de violences spécifiques (crimes « d’honneur », etc. notamment). Enfin, la migration des femmes comme des hommes peut dans certains cas être en lien avec l’orientation sexuelle ou l’identité de genre. </w:t>
      </w:r>
      <w:r w:rsidR="00EE28CB">
        <w:t>Certaines migration</w:t>
      </w:r>
      <w:r w:rsidR="00C62BC4">
        <w:t xml:space="preserve">s sont particulièrement </w:t>
      </w:r>
      <w:r w:rsidR="00EE28CB">
        <w:t>déterminées par le</w:t>
      </w:r>
      <w:r w:rsidR="00C62BC4">
        <w:t xml:space="preserve"> genre, soit en lien avec le pays de départ (ex. 65% de l’émigration à partir des Philippines est féminine), soit en lien avec les opportunités de travail dans le pays d’arrivée (ex. infirmières indiennes, philippines et sri lankaises, qui représentent les plus gros contingents de femmes migrantes dans le secteur des services au niveau international).</w:t>
      </w:r>
      <w:r w:rsidR="00C62BC4">
        <w:rPr>
          <w:rStyle w:val="Appelnotedebasdep"/>
        </w:rPr>
        <w:footnoteReference w:id="1"/>
      </w:r>
    </w:p>
    <w:p w14:paraId="644D3B3B" w14:textId="77777777" w:rsidR="000545FF" w:rsidRDefault="000545FF" w:rsidP="001273AB">
      <w:pPr>
        <w:spacing w:after="0" w:line="240" w:lineRule="auto"/>
        <w:jc w:val="both"/>
        <w:rPr>
          <w:rFonts w:ascii="Calibri" w:eastAsia="Times New Roman" w:hAnsi="Calibri" w:cs="Calibri"/>
          <w:b/>
          <w:bCs/>
          <w:lang w:eastAsia="fr-FR"/>
        </w:rPr>
      </w:pPr>
    </w:p>
    <w:p w14:paraId="30A4C4EF" w14:textId="149EE77B" w:rsidR="00C607E2" w:rsidRDefault="00402703" w:rsidP="008F6CD1">
      <w:pPr>
        <w:pStyle w:val="Titre2"/>
        <w:ind w:firstLine="708"/>
        <w:rPr>
          <w:rFonts w:eastAsia="Times New Roman"/>
          <w:lang w:eastAsia="fr-FR"/>
        </w:rPr>
      </w:pPr>
      <w:bookmarkStart w:id="4" w:name="_Toc55391557"/>
      <w:r>
        <w:rPr>
          <w:rFonts w:eastAsia="Times New Roman"/>
          <w:lang w:eastAsia="fr-FR"/>
        </w:rPr>
        <w:t>2.</w:t>
      </w:r>
      <w:r w:rsidR="000545FF">
        <w:rPr>
          <w:rFonts w:eastAsia="Times New Roman"/>
          <w:lang w:eastAsia="fr-FR"/>
        </w:rPr>
        <w:t>2</w:t>
      </w:r>
      <w:r>
        <w:rPr>
          <w:rFonts w:eastAsia="Times New Roman"/>
          <w:lang w:eastAsia="fr-FR"/>
        </w:rPr>
        <w:t xml:space="preserve"> Les enjeux de l’</w:t>
      </w:r>
      <w:r w:rsidR="00C607E2">
        <w:rPr>
          <w:rFonts w:eastAsia="Times New Roman"/>
          <w:lang w:eastAsia="fr-FR"/>
        </w:rPr>
        <w:t>inclusion financière</w:t>
      </w:r>
      <w:r>
        <w:rPr>
          <w:rFonts w:eastAsia="Times New Roman"/>
          <w:lang w:eastAsia="fr-FR"/>
        </w:rPr>
        <w:t xml:space="preserve"> des migrant</w:t>
      </w:r>
      <w:r w:rsidR="00483364">
        <w:rPr>
          <w:rFonts w:eastAsia="Times New Roman"/>
          <w:lang w:eastAsia="fr-FR"/>
        </w:rPr>
        <w:t>-e-</w:t>
      </w:r>
      <w:r>
        <w:rPr>
          <w:rFonts w:eastAsia="Times New Roman"/>
          <w:lang w:eastAsia="fr-FR"/>
        </w:rPr>
        <w:t>s</w:t>
      </w:r>
      <w:bookmarkEnd w:id="4"/>
    </w:p>
    <w:p w14:paraId="5183A225" w14:textId="0623E1D8" w:rsidR="00402703" w:rsidRDefault="00402703" w:rsidP="001273AB">
      <w:pPr>
        <w:spacing w:after="0" w:line="240" w:lineRule="auto"/>
        <w:jc w:val="both"/>
        <w:rPr>
          <w:rFonts w:ascii="Calibri" w:eastAsia="Times New Roman" w:hAnsi="Calibri" w:cs="Calibri"/>
          <w:b/>
          <w:bCs/>
          <w:lang w:eastAsia="fr-FR"/>
        </w:rPr>
      </w:pPr>
    </w:p>
    <w:p w14:paraId="3EFE01AD" w14:textId="12CCC376" w:rsidR="008F6CD1" w:rsidRPr="000545FF" w:rsidRDefault="00F02EC0" w:rsidP="00AB0563">
      <w:pPr>
        <w:spacing w:line="240" w:lineRule="auto"/>
        <w:jc w:val="both"/>
        <w:rPr>
          <w:rFonts w:ascii="Calibri" w:eastAsia="Times New Roman" w:hAnsi="Calibri" w:cs="Calibri"/>
          <w:bCs/>
          <w:lang w:eastAsia="fr-FR"/>
        </w:rPr>
      </w:pPr>
      <w:r>
        <w:rPr>
          <w:rFonts w:ascii="Calibri" w:eastAsia="Times New Roman" w:hAnsi="Calibri" w:cs="Calibri"/>
          <w:b/>
          <w:bCs/>
          <w:lang w:eastAsia="fr-FR"/>
        </w:rPr>
        <w:t xml:space="preserve">L’inclusion financière </w:t>
      </w:r>
      <w:r w:rsidR="001038A7">
        <w:rPr>
          <w:rFonts w:ascii="Calibri" w:eastAsia="Times New Roman" w:hAnsi="Calibri" w:cs="Calibri"/>
          <w:bCs/>
          <w:lang w:eastAsia="fr-FR"/>
        </w:rPr>
        <w:t xml:space="preserve">désigne une situation </w:t>
      </w:r>
      <w:r w:rsidR="001038A7" w:rsidRPr="000545FF">
        <w:rPr>
          <w:rFonts w:ascii="Calibri" w:eastAsia="Times New Roman" w:hAnsi="Calibri" w:cs="Calibri"/>
          <w:bCs/>
          <w:lang w:eastAsia="fr-FR"/>
        </w:rPr>
        <w:t>où</w:t>
      </w:r>
      <w:r w:rsidR="001038A7">
        <w:rPr>
          <w:rFonts w:ascii="Calibri" w:eastAsia="Times New Roman" w:hAnsi="Calibri" w:cs="Calibri"/>
          <w:bCs/>
          <w:lang w:eastAsia="fr-FR"/>
        </w:rPr>
        <w:t xml:space="preserve"> </w:t>
      </w:r>
      <w:r w:rsidR="001038A7" w:rsidRPr="000545FF">
        <w:rPr>
          <w:rFonts w:ascii="Calibri" w:eastAsia="Times New Roman" w:hAnsi="Calibri" w:cs="Calibri"/>
          <w:bCs/>
          <w:lang w:eastAsia="fr-FR"/>
        </w:rPr>
        <w:t>les particulier</w:t>
      </w:r>
      <w:r w:rsidR="00483364">
        <w:rPr>
          <w:rFonts w:ascii="Calibri" w:eastAsia="Times New Roman" w:hAnsi="Calibri" w:cs="Calibri"/>
          <w:bCs/>
          <w:lang w:eastAsia="fr-FR"/>
        </w:rPr>
        <w:t>-e-</w:t>
      </w:r>
      <w:r w:rsidR="001038A7" w:rsidRPr="000545FF">
        <w:rPr>
          <w:rFonts w:ascii="Calibri" w:eastAsia="Times New Roman" w:hAnsi="Calibri" w:cs="Calibri"/>
          <w:bCs/>
          <w:lang w:eastAsia="fr-FR"/>
        </w:rPr>
        <w:t>s et les entreprises ont l’opportunité d’accéder à et la capacité d’utiliser une</w:t>
      </w:r>
      <w:r w:rsidR="001038A7">
        <w:rPr>
          <w:rFonts w:ascii="Calibri" w:eastAsia="Times New Roman" w:hAnsi="Calibri" w:cs="Calibri"/>
          <w:bCs/>
          <w:lang w:eastAsia="fr-FR"/>
        </w:rPr>
        <w:t xml:space="preserve"> </w:t>
      </w:r>
      <w:r w:rsidR="001038A7" w:rsidRPr="000545FF">
        <w:rPr>
          <w:rFonts w:ascii="Calibri" w:eastAsia="Times New Roman" w:hAnsi="Calibri" w:cs="Calibri"/>
          <w:bCs/>
          <w:lang w:eastAsia="fr-FR"/>
        </w:rPr>
        <w:t>gamme diversifiée de services financiers adaptés qui sont fournis de manière responsable et</w:t>
      </w:r>
      <w:r w:rsidR="001038A7">
        <w:rPr>
          <w:rFonts w:ascii="Calibri" w:eastAsia="Times New Roman" w:hAnsi="Calibri" w:cs="Calibri"/>
          <w:bCs/>
          <w:lang w:eastAsia="fr-FR"/>
        </w:rPr>
        <w:t xml:space="preserve"> </w:t>
      </w:r>
      <w:r w:rsidR="001038A7" w:rsidRPr="000545FF">
        <w:rPr>
          <w:rFonts w:ascii="Calibri" w:eastAsia="Times New Roman" w:hAnsi="Calibri" w:cs="Calibri"/>
          <w:bCs/>
          <w:lang w:eastAsia="fr-FR"/>
        </w:rPr>
        <w:t>durable par des institutions financières formelles</w:t>
      </w:r>
      <w:r w:rsidR="001038A7">
        <w:rPr>
          <w:rFonts w:ascii="Calibri" w:eastAsia="Times New Roman" w:hAnsi="Calibri" w:cs="Calibri"/>
          <w:bCs/>
          <w:lang w:eastAsia="fr-FR"/>
        </w:rPr>
        <w:t xml:space="preserve">. </w:t>
      </w:r>
      <w:r>
        <w:rPr>
          <w:rFonts w:ascii="Calibri" w:eastAsia="Times New Roman" w:hAnsi="Calibri" w:cs="Calibri"/>
          <w:bCs/>
          <w:lang w:eastAsia="fr-FR"/>
        </w:rPr>
        <w:t>Elle peut s’appuyer sur</w:t>
      </w:r>
      <w:r w:rsidR="008F6CD1">
        <w:rPr>
          <w:rFonts w:ascii="Calibri" w:eastAsia="Times New Roman" w:hAnsi="Calibri" w:cs="Calibri"/>
          <w:bCs/>
          <w:lang w:eastAsia="fr-FR"/>
        </w:rPr>
        <w:t xml:space="preserve"> une diversité </w:t>
      </w:r>
      <w:r w:rsidR="00B03D59">
        <w:rPr>
          <w:rFonts w:ascii="Calibri" w:eastAsia="Times New Roman" w:hAnsi="Calibri" w:cs="Calibri"/>
          <w:bCs/>
          <w:lang w:eastAsia="fr-FR"/>
        </w:rPr>
        <w:t>d’institutions, publiques</w:t>
      </w:r>
      <w:r w:rsidR="008F6CD1">
        <w:rPr>
          <w:rFonts w:ascii="Calibri" w:eastAsia="Times New Roman" w:hAnsi="Calibri" w:cs="Calibri"/>
          <w:bCs/>
          <w:lang w:eastAsia="fr-FR"/>
        </w:rPr>
        <w:t xml:space="preserve"> ou privé</w:t>
      </w:r>
      <w:r w:rsidR="00B03D59">
        <w:rPr>
          <w:rFonts w:ascii="Calibri" w:eastAsia="Times New Roman" w:hAnsi="Calibri" w:cs="Calibri"/>
          <w:bCs/>
          <w:lang w:eastAsia="fr-FR"/>
        </w:rPr>
        <w:t>es, à but lucratif ou non ;</w:t>
      </w:r>
      <w:r w:rsidR="008F6CD1">
        <w:rPr>
          <w:rFonts w:ascii="Calibri" w:eastAsia="Times New Roman" w:hAnsi="Calibri" w:cs="Calibri"/>
          <w:bCs/>
          <w:lang w:eastAsia="fr-FR"/>
        </w:rPr>
        <w:t xml:space="preserve"> par exemple des banques, des institutions de microfinance (IMF), des assureurs, de nouveaux prestataires de la fintech. </w:t>
      </w:r>
      <w:r w:rsidR="00B03D59">
        <w:rPr>
          <w:rFonts w:cstheme="minorHAnsi"/>
        </w:rPr>
        <w:t>L</w:t>
      </w:r>
      <w:r w:rsidRPr="00B72229">
        <w:rPr>
          <w:rFonts w:cstheme="minorHAnsi"/>
        </w:rPr>
        <w:t>a révolution du numérique contribue à bousculer les modèles et fair</w:t>
      </w:r>
      <w:r w:rsidR="008F6CD1">
        <w:rPr>
          <w:rFonts w:cstheme="minorHAnsi"/>
        </w:rPr>
        <w:t>e émerger de nouveaux services de paiement</w:t>
      </w:r>
      <w:r w:rsidRPr="00B72229">
        <w:rPr>
          <w:rFonts w:cstheme="minorHAnsi"/>
        </w:rPr>
        <w:t>,</w:t>
      </w:r>
      <w:r w:rsidR="008F6CD1">
        <w:rPr>
          <w:rFonts w:cstheme="minorHAnsi"/>
        </w:rPr>
        <w:t xml:space="preserve"> de</w:t>
      </w:r>
      <w:r w:rsidRPr="00B72229">
        <w:rPr>
          <w:rFonts w:cstheme="minorHAnsi"/>
        </w:rPr>
        <w:t xml:space="preserve"> banque mobile,</w:t>
      </w:r>
      <w:r w:rsidR="008F6CD1">
        <w:rPr>
          <w:rFonts w:cstheme="minorHAnsi"/>
        </w:rPr>
        <w:t xml:space="preserve"> de réseaux d’agent</w:t>
      </w:r>
      <w:r w:rsidR="00483364">
        <w:rPr>
          <w:rFonts w:cstheme="minorHAnsi"/>
        </w:rPr>
        <w:t>-e-</w:t>
      </w:r>
      <w:r w:rsidR="008F6CD1">
        <w:rPr>
          <w:rFonts w:cstheme="minorHAnsi"/>
        </w:rPr>
        <w:t>s</w:t>
      </w:r>
      <w:r w:rsidR="00483364">
        <w:rPr>
          <w:rFonts w:cstheme="minorHAnsi"/>
        </w:rPr>
        <w:t>,</w:t>
      </w:r>
      <w:r w:rsidR="008F6CD1">
        <w:rPr>
          <w:rFonts w:cstheme="minorHAnsi"/>
        </w:rPr>
        <w:t xml:space="preserve"> etc</w:t>
      </w:r>
      <w:r w:rsidRPr="00B72229">
        <w:rPr>
          <w:rFonts w:cstheme="minorHAnsi"/>
        </w:rPr>
        <w:t xml:space="preserve">. </w:t>
      </w:r>
      <w:r w:rsidR="00AB0563" w:rsidRPr="00B03D59">
        <w:rPr>
          <w:rFonts w:ascii="Calibri" w:eastAsia="Times New Roman" w:hAnsi="Calibri" w:cs="Calibri"/>
          <w:lang w:eastAsia="fr-FR"/>
        </w:rPr>
        <w:t>L’inclusion financière est reconnue par le PNUD comme facteur de réalisation d’au moins 7 Objectifs de Développement Durab</w:t>
      </w:r>
      <w:r w:rsidR="00AB0563">
        <w:rPr>
          <w:rFonts w:ascii="Calibri" w:eastAsia="Times New Roman" w:hAnsi="Calibri" w:cs="Calibri"/>
          <w:lang w:eastAsia="fr-FR"/>
        </w:rPr>
        <w:t>le (ODD 1, 3, 4, 5, 8, 9 et 10). Par ailleurs, la spécificité de la population visée, les personnes en migration</w:t>
      </w:r>
      <w:r w:rsidR="00AB0563" w:rsidRPr="00B03D59">
        <w:rPr>
          <w:rFonts w:ascii="Calibri" w:eastAsia="Times New Roman" w:hAnsi="Calibri" w:cs="Calibri"/>
          <w:lang w:eastAsia="fr-FR"/>
        </w:rPr>
        <w:t xml:space="preserve">, </w:t>
      </w:r>
      <w:r w:rsidR="00AB0563">
        <w:rPr>
          <w:rFonts w:ascii="Calibri" w:eastAsia="Times New Roman" w:hAnsi="Calibri" w:cs="Calibri"/>
          <w:lang w:eastAsia="fr-FR"/>
        </w:rPr>
        <w:t>fait écho aux ODD 13</w:t>
      </w:r>
      <w:r w:rsidR="00AB0563" w:rsidRPr="00B03D59">
        <w:rPr>
          <w:rFonts w:ascii="Calibri" w:eastAsia="Times New Roman" w:hAnsi="Calibri" w:cs="Calibri"/>
          <w:lang w:eastAsia="fr-FR"/>
        </w:rPr>
        <w:t xml:space="preserve"> (</w:t>
      </w:r>
      <w:r w:rsidR="00AB0563">
        <w:rPr>
          <w:rFonts w:ascii="Calibri" w:eastAsia="Times New Roman" w:hAnsi="Calibri" w:cs="Calibri"/>
          <w:lang w:eastAsia="fr-FR"/>
        </w:rPr>
        <w:t xml:space="preserve">la lutte </w:t>
      </w:r>
      <w:r w:rsidR="00AB0563" w:rsidRPr="00B03D59">
        <w:rPr>
          <w:rFonts w:ascii="Calibri" w:eastAsia="Times New Roman" w:hAnsi="Calibri" w:cs="Calibri"/>
          <w:lang w:eastAsia="fr-FR"/>
        </w:rPr>
        <w:t xml:space="preserve">contre le changement climatique et ses répercussions) et 16 (la promotion de </w:t>
      </w:r>
      <w:r w:rsidR="00AB0563" w:rsidRPr="00B03D59">
        <w:rPr>
          <w:rFonts w:ascii="Calibri" w:eastAsia="Times New Roman" w:hAnsi="Calibri" w:cs="Calibri"/>
          <w:bCs/>
          <w:lang w:eastAsia="fr-FR"/>
        </w:rPr>
        <w:t>sociétés pacifiques et ouvertes)</w:t>
      </w:r>
      <w:r w:rsidR="00AB0563">
        <w:rPr>
          <w:rStyle w:val="Appelnotedebasdep"/>
          <w:rFonts w:ascii="Calibri" w:eastAsia="Times New Roman" w:hAnsi="Calibri" w:cs="Calibri"/>
          <w:bCs/>
          <w:lang w:eastAsia="fr-FR"/>
        </w:rPr>
        <w:footnoteReference w:id="2"/>
      </w:r>
      <w:r w:rsidR="00AB0563" w:rsidRPr="00B03D59">
        <w:rPr>
          <w:rFonts w:ascii="Calibri" w:eastAsia="Times New Roman" w:hAnsi="Calibri" w:cs="Calibri"/>
          <w:bCs/>
          <w:lang w:eastAsia="fr-FR"/>
        </w:rPr>
        <w:t>.</w:t>
      </w:r>
      <w:r w:rsidR="00AB0563">
        <w:rPr>
          <w:rFonts w:ascii="Calibri" w:eastAsia="Times New Roman" w:hAnsi="Calibri" w:cs="Calibri"/>
          <w:bCs/>
          <w:lang w:eastAsia="fr-FR"/>
        </w:rPr>
        <w:t xml:space="preserve"> </w:t>
      </w:r>
      <w:r w:rsidR="00AB0563">
        <w:rPr>
          <w:rFonts w:ascii="Calibri" w:eastAsia="Times New Roman" w:hAnsi="Calibri" w:cs="Calibri"/>
          <w:iCs/>
          <w:lang w:eastAsia="fr-FR"/>
        </w:rPr>
        <w:t>Ces dernières années, l’</w:t>
      </w:r>
      <w:r w:rsidR="00AB0563" w:rsidRPr="00385110">
        <w:rPr>
          <w:rFonts w:ascii="Calibri" w:eastAsia="Times New Roman" w:hAnsi="Calibri" w:cs="Calibri"/>
          <w:iCs/>
          <w:lang w:eastAsia="fr-FR"/>
        </w:rPr>
        <w:t>enjeu spécifique de l’inclusion financière des déplacé</w:t>
      </w:r>
      <w:r w:rsidR="00483364">
        <w:rPr>
          <w:rFonts w:ascii="Calibri" w:eastAsia="Times New Roman" w:hAnsi="Calibri" w:cs="Calibri"/>
          <w:iCs/>
          <w:lang w:eastAsia="fr-FR"/>
        </w:rPr>
        <w:t>-e-</w:t>
      </w:r>
      <w:r w:rsidR="00AB0563" w:rsidRPr="00385110">
        <w:rPr>
          <w:rFonts w:ascii="Calibri" w:eastAsia="Times New Roman" w:hAnsi="Calibri" w:cs="Calibri"/>
          <w:iCs/>
          <w:lang w:eastAsia="fr-FR"/>
        </w:rPr>
        <w:t>s et réfugié</w:t>
      </w:r>
      <w:r w:rsidR="00483364">
        <w:rPr>
          <w:rFonts w:ascii="Calibri" w:eastAsia="Times New Roman" w:hAnsi="Calibri" w:cs="Calibri"/>
          <w:iCs/>
          <w:lang w:eastAsia="fr-FR"/>
        </w:rPr>
        <w:t>-e-</w:t>
      </w:r>
      <w:r w:rsidR="00AB0563" w:rsidRPr="00385110">
        <w:rPr>
          <w:rFonts w:ascii="Calibri" w:eastAsia="Times New Roman" w:hAnsi="Calibri" w:cs="Calibri"/>
          <w:iCs/>
          <w:lang w:eastAsia="fr-FR"/>
        </w:rPr>
        <w:t xml:space="preserve">s </w:t>
      </w:r>
      <w:r w:rsidR="00AB0563">
        <w:rPr>
          <w:rFonts w:ascii="Calibri" w:eastAsia="Times New Roman" w:hAnsi="Calibri" w:cs="Calibri"/>
          <w:iCs/>
          <w:lang w:eastAsia="fr-FR"/>
        </w:rPr>
        <w:t>a gagné en visibilité sur l’agenda politique des organisations internationales - i</w:t>
      </w:r>
      <w:r w:rsidR="00AB0563" w:rsidRPr="00385110">
        <w:rPr>
          <w:rFonts w:ascii="Calibri" w:eastAsia="Times New Roman" w:hAnsi="Calibri" w:cs="Calibri"/>
          <w:iCs/>
          <w:lang w:eastAsia="fr-FR"/>
        </w:rPr>
        <w:t xml:space="preserve">l s’agit par exemple d’une préoccupation </w:t>
      </w:r>
      <w:r w:rsidR="00AB0563">
        <w:rPr>
          <w:rFonts w:ascii="Calibri" w:eastAsia="Times New Roman" w:hAnsi="Calibri" w:cs="Calibri"/>
          <w:iCs/>
          <w:lang w:eastAsia="fr-FR"/>
        </w:rPr>
        <w:t>clairement exprimée par l’ONU</w:t>
      </w:r>
      <w:r w:rsidR="00AB0563">
        <w:rPr>
          <w:rStyle w:val="Appelnotedebasdep"/>
          <w:rFonts w:ascii="Calibri" w:eastAsia="Times New Roman" w:hAnsi="Calibri" w:cs="Calibri"/>
          <w:i/>
          <w:iCs/>
          <w:lang w:val="en-US" w:eastAsia="fr-FR"/>
        </w:rPr>
        <w:footnoteReference w:id="3"/>
      </w:r>
      <w:r w:rsidR="00AB0563">
        <w:rPr>
          <w:rFonts w:ascii="Calibri" w:eastAsia="Times New Roman" w:hAnsi="Calibri" w:cs="Calibri"/>
          <w:iCs/>
          <w:lang w:eastAsia="fr-FR"/>
        </w:rPr>
        <w:t xml:space="preserve"> -</w:t>
      </w:r>
      <w:r w:rsidR="00AB0563" w:rsidRPr="00385110">
        <w:rPr>
          <w:rFonts w:ascii="Calibri" w:eastAsia="Times New Roman" w:hAnsi="Calibri" w:cs="Calibri"/>
          <w:iCs/>
          <w:lang w:eastAsia="fr-FR"/>
        </w:rPr>
        <w:t xml:space="preserve"> et</w:t>
      </w:r>
      <w:r w:rsidR="00AB0563">
        <w:rPr>
          <w:rFonts w:ascii="Calibri" w:eastAsia="Times New Roman" w:hAnsi="Calibri" w:cs="Calibri"/>
          <w:b/>
          <w:iCs/>
          <w:lang w:eastAsia="fr-FR"/>
        </w:rPr>
        <w:t xml:space="preserve"> </w:t>
      </w:r>
      <w:r w:rsidR="00AB0563">
        <w:rPr>
          <w:rFonts w:ascii="Calibri" w:eastAsia="Times New Roman" w:hAnsi="Calibri" w:cs="Calibri"/>
          <w:iCs/>
          <w:lang w:eastAsia="fr-FR"/>
        </w:rPr>
        <w:t>u</w:t>
      </w:r>
      <w:r w:rsidR="00AB0563" w:rsidRPr="00385110">
        <w:rPr>
          <w:rFonts w:ascii="Calibri" w:eastAsia="Times New Roman" w:hAnsi="Calibri" w:cs="Calibri"/>
          <w:iCs/>
          <w:lang w:eastAsia="fr-FR"/>
        </w:rPr>
        <w:t xml:space="preserve">ne littérature </w:t>
      </w:r>
      <w:r w:rsidR="00AB0563" w:rsidRPr="00385110">
        <w:rPr>
          <w:rFonts w:ascii="Calibri" w:eastAsia="Times New Roman" w:hAnsi="Calibri" w:cs="Calibri"/>
          <w:iCs/>
          <w:lang w:eastAsia="fr-FR"/>
        </w:rPr>
        <w:lastRenderedPageBreak/>
        <w:t>abondante s’est développée sur le sujet</w:t>
      </w:r>
      <w:r w:rsidR="00AB0563">
        <w:rPr>
          <w:rStyle w:val="Appelnotedebasdep"/>
          <w:rFonts w:ascii="Calibri" w:eastAsia="Times New Roman" w:hAnsi="Calibri" w:cs="Calibri"/>
          <w:iCs/>
          <w:lang w:eastAsia="fr-FR"/>
        </w:rPr>
        <w:footnoteReference w:id="4"/>
      </w:r>
      <w:r w:rsidR="00AB0563">
        <w:rPr>
          <w:rFonts w:ascii="Calibri" w:eastAsia="Times New Roman" w:hAnsi="Calibri" w:cs="Calibri"/>
          <w:iCs/>
          <w:lang w:eastAsia="fr-FR"/>
        </w:rPr>
        <w:t xml:space="preserve">. </w:t>
      </w:r>
      <w:r w:rsidR="00AB0563">
        <w:rPr>
          <w:rFonts w:ascii="Calibri" w:eastAsia="Times New Roman" w:hAnsi="Calibri" w:cs="Calibri"/>
          <w:lang w:eastAsia="fr-FR"/>
        </w:rPr>
        <w:t>L’inclusion financière des migrant</w:t>
      </w:r>
      <w:r w:rsidR="00483364">
        <w:rPr>
          <w:rFonts w:ascii="Calibri" w:eastAsia="Times New Roman" w:hAnsi="Calibri" w:cs="Calibri"/>
          <w:lang w:eastAsia="fr-FR"/>
        </w:rPr>
        <w:t>-e-</w:t>
      </w:r>
      <w:r w:rsidR="00AB0563">
        <w:rPr>
          <w:rFonts w:ascii="Calibri" w:eastAsia="Times New Roman" w:hAnsi="Calibri" w:cs="Calibri"/>
          <w:lang w:eastAsia="fr-FR"/>
        </w:rPr>
        <w:t>s nécessite</w:t>
      </w:r>
      <w:r w:rsidR="00AB0563" w:rsidRPr="00586F71">
        <w:rPr>
          <w:rFonts w:ascii="Calibri" w:eastAsia="Times New Roman" w:hAnsi="Calibri" w:cs="Calibri"/>
          <w:lang w:eastAsia="fr-FR"/>
        </w:rPr>
        <w:t xml:space="preserve"> un engagement explicite des parties-prenantes à tous les niveaux,</w:t>
      </w:r>
      <w:r w:rsidR="00AB0563">
        <w:rPr>
          <w:rFonts w:ascii="Calibri" w:eastAsia="Times New Roman" w:hAnsi="Calibri" w:cs="Calibri"/>
          <w:b/>
          <w:lang w:eastAsia="fr-FR"/>
        </w:rPr>
        <w:t xml:space="preserve"> </w:t>
      </w:r>
      <w:r w:rsidR="00AB0563">
        <w:rPr>
          <w:rFonts w:ascii="Calibri" w:eastAsia="Times New Roman" w:hAnsi="Calibri" w:cs="Calibri"/>
          <w:lang w:eastAsia="fr-FR"/>
        </w:rPr>
        <w:t>des</w:t>
      </w:r>
      <w:r w:rsidR="00AB0563" w:rsidRPr="00CE5745">
        <w:rPr>
          <w:rFonts w:ascii="Calibri" w:eastAsia="Times New Roman" w:hAnsi="Calibri" w:cs="Calibri"/>
          <w:lang w:eastAsia="fr-FR"/>
        </w:rPr>
        <w:t xml:space="preserve"> </w:t>
      </w:r>
      <w:r w:rsidR="00AB0563">
        <w:rPr>
          <w:rFonts w:ascii="Calibri" w:eastAsia="Times New Roman" w:hAnsi="Calibri" w:cs="Calibri"/>
          <w:lang w:eastAsia="fr-FR"/>
        </w:rPr>
        <w:t>gouvernements et régulateurs financiers</w:t>
      </w:r>
      <w:r w:rsidR="00AB0563" w:rsidRPr="00CE5745">
        <w:rPr>
          <w:rFonts w:ascii="Calibri" w:eastAsia="Times New Roman" w:hAnsi="Calibri" w:cs="Calibri"/>
          <w:lang w:eastAsia="fr-FR"/>
        </w:rPr>
        <w:t xml:space="preserve"> </w:t>
      </w:r>
      <w:r w:rsidR="00AB0563">
        <w:rPr>
          <w:rFonts w:ascii="Calibri" w:eastAsia="Times New Roman" w:hAnsi="Calibri" w:cs="Calibri"/>
          <w:lang w:eastAsia="fr-FR"/>
        </w:rPr>
        <w:t xml:space="preserve">aux fournisseurs de services publics et privés en passant par les agences de développement et les </w:t>
      </w:r>
      <w:r w:rsidR="00C62BC4">
        <w:rPr>
          <w:rFonts w:ascii="Calibri" w:eastAsia="Times New Roman" w:hAnsi="Calibri" w:cs="Calibri"/>
          <w:lang w:eastAsia="fr-FR"/>
        </w:rPr>
        <w:t xml:space="preserve">organisations </w:t>
      </w:r>
      <w:r w:rsidR="00AB0563">
        <w:rPr>
          <w:rFonts w:ascii="Calibri" w:eastAsia="Times New Roman" w:hAnsi="Calibri" w:cs="Calibri"/>
          <w:lang w:eastAsia="fr-FR"/>
        </w:rPr>
        <w:t>humanitaire</w:t>
      </w:r>
      <w:r w:rsidR="00C62BC4">
        <w:rPr>
          <w:rFonts w:ascii="Calibri" w:eastAsia="Times New Roman" w:hAnsi="Calibri" w:cs="Calibri"/>
          <w:lang w:eastAsia="fr-FR"/>
        </w:rPr>
        <w:t>s</w:t>
      </w:r>
      <w:r w:rsidR="00AB0563">
        <w:rPr>
          <w:rFonts w:ascii="Calibri" w:eastAsia="Times New Roman" w:hAnsi="Calibri" w:cs="Calibri"/>
          <w:lang w:eastAsia="fr-FR"/>
        </w:rPr>
        <w:t xml:space="preserve">. </w:t>
      </w:r>
    </w:p>
    <w:p w14:paraId="441A736D" w14:textId="704B79D5" w:rsidR="00586F71" w:rsidRPr="00AB0563" w:rsidRDefault="008F6CD1" w:rsidP="00AB0563">
      <w:pPr>
        <w:spacing w:after="0" w:line="240" w:lineRule="auto"/>
        <w:jc w:val="both"/>
        <w:rPr>
          <w:rFonts w:ascii="Calibri" w:eastAsia="Times New Roman" w:hAnsi="Calibri" w:cs="Calibri"/>
          <w:lang w:eastAsia="fr-FR"/>
        </w:rPr>
      </w:pPr>
      <w:r w:rsidRPr="00AB0563">
        <w:rPr>
          <w:rFonts w:ascii="Calibri" w:eastAsia="Times New Roman" w:hAnsi="Calibri" w:cs="Calibri"/>
          <w:b/>
          <w:lang w:eastAsia="fr-FR"/>
        </w:rPr>
        <w:t>Les services financiers</w:t>
      </w:r>
      <w:r w:rsidR="002E3B11" w:rsidRPr="00AB0563">
        <w:rPr>
          <w:rFonts w:ascii="Calibri" w:eastAsia="Times New Roman" w:hAnsi="Calibri" w:cs="Calibri"/>
          <w:b/>
          <w:lang w:eastAsia="fr-FR"/>
        </w:rPr>
        <w:t xml:space="preserve"> </w:t>
      </w:r>
      <w:r w:rsidR="004826D9">
        <w:rPr>
          <w:rFonts w:ascii="Calibri" w:eastAsia="Times New Roman" w:hAnsi="Calibri" w:cs="Calibri"/>
          <w:b/>
          <w:lang w:eastAsia="fr-FR"/>
        </w:rPr>
        <w:t>peuvent offrir</w:t>
      </w:r>
      <w:r w:rsidR="004826D9" w:rsidRPr="00AB0563">
        <w:rPr>
          <w:rFonts w:ascii="Calibri" w:eastAsia="Times New Roman" w:hAnsi="Calibri" w:cs="Calibri"/>
          <w:b/>
          <w:lang w:eastAsia="fr-FR"/>
        </w:rPr>
        <w:t xml:space="preserve"> </w:t>
      </w:r>
      <w:r w:rsidRPr="00AB0563">
        <w:rPr>
          <w:rFonts w:ascii="Calibri" w:eastAsia="Times New Roman" w:hAnsi="Calibri" w:cs="Calibri"/>
          <w:b/>
          <w:lang w:eastAsia="fr-FR"/>
        </w:rPr>
        <w:t xml:space="preserve">des outils essentiels aux personnes qui ont quitté leur </w:t>
      </w:r>
      <w:r w:rsidR="00AB0563" w:rsidRPr="00AB0563">
        <w:rPr>
          <w:rFonts w:ascii="Calibri" w:eastAsia="Times New Roman" w:hAnsi="Calibri" w:cs="Calibri"/>
          <w:b/>
          <w:lang w:eastAsia="fr-FR"/>
        </w:rPr>
        <w:t>foyer</w:t>
      </w:r>
      <w:r w:rsidR="002E3B11" w:rsidRPr="00AB0563">
        <w:rPr>
          <w:rFonts w:ascii="Calibri" w:eastAsia="Times New Roman" w:hAnsi="Calibri" w:cs="Calibri"/>
          <w:lang w:eastAsia="fr-FR"/>
        </w:rPr>
        <w:t>.</w:t>
      </w:r>
      <w:r w:rsidRPr="00AB0563">
        <w:rPr>
          <w:rFonts w:ascii="Calibri" w:eastAsia="Times New Roman" w:hAnsi="Calibri" w:cs="Calibri"/>
          <w:lang w:eastAsia="fr-FR"/>
        </w:rPr>
        <w:t xml:space="preserve"> </w:t>
      </w:r>
      <w:r w:rsidR="00586F71" w:rsidRPr="00AB0563">
        <w:rPr>
          <w:rFonts w:ascii="Calibri" w:eastAsia="Times New Roman" w:hAnsi="Calibri" w:cs="Calibri"/>
          <w:lang w:eastAsia="fr-FR"/>
        </w:rPr>
        <w:t xml:space="preserve">Par exemple : </w:t>
      </w:r>
    </w:p>
    <w:p w14:paraId="58F08ACF" w14:textId="0A96A229" w:rsidR="00AB0563" w:rsidRDefault="00586F71" w:rsidP="000545FF">
      <w:pPr>
        <w:pStyle w:val="Paragraphedeliste"/>
        <w:numPr>
          <w:ilvl w:val="0"/>
          <w:numId w:val="43"/>
        </w:numPr>
        <w:spacing w:after="0" w:line="240" w:lineRule="auto"/>
        <w:jc w:val="both"/>
        <w:rPr>
          <w:rFonts w:ascii="Calibri" w:eastAsia="Times New Roman" w:hAnsi="Calibri" w:cs="Calibri"/>
          <w:lang w:eastAsia="fr-FR"/>
        </w:rPr>
      </w:pPr>
      <w:r w:rsidRPr="00AB0563">
        <w:rPr>
          <w:rFonts w:ascii="Calibri" w:eastAsia="Times New Roman" w:hAnsi="Calibri" w:cs="Calibri"/>
          <w:lang w:eastAsia="fr-FR"/>
        </w:rPr>
        <w:t>L'envoi et/ou la réception de fonds, dont les transferts de fonds humanitaires</w:t>
      </w:r>
      <w:r w:rsidR="004826D9">
        <w:rPr>
          <w:rFonts w:ascii="Calibri" w:eastAsia="Times New Roman" w:hAnsi="Calibri" w:cs="Calibri"/>
          <w:lang w:eastAsia="fr-FR"/>
        </w:rPr>
        <w:t xml:space="preserve"> afin de</w:t>
      </w:r>
      <w:r w:rsidRPr="00AB0563">
        <w:rPr>
          <w:rFonts w:ascii="Calibri" w:eastAsia="Times New Roman" w:hAnsi="Calibri" w:cs="Calibri"/>
          <w:lang w:eastAsia="fr-FR"/>
        </w:rPr>
        <w:t xml:space="preserve"> </w:t>
      </w:r>
      <w:r w:rsidR="004826D9" w:rsidRPr="00AB0563">
        <w:rPr>
          <w:rFonts w:ascii="Calibri" w:eastAsia="Times New Roman" w:hAnsi="Calibri" w:cs="Calibri"/>
          <w:lang w:eastAsia="fr-FR"/>
        </w:rPr>
        <w:t>répondre à des besoins d'urgence</w:t>
      </w:r>
      <w:r w:rsidR="00483364">
        <w:rPr>
          <w:rFonts w:ascii="Calibri" w:eastAsia="Times New Roman" w:hAnsi="Calibri" w:cs="Calibri"/>
          <w:lang w:eastAsia="fr-FR"/>
        </w:rPr>
        <w:t> </w:t>
      </w:r>
      <w:r w:rsidRPr="00AB0563">
        <w:rPr>
          <w:rFonts w:ascii="Calibri" w:eastAsia="Times New Roman" w:hAnsi="Calibri" w:cs="Calibri"/>
          <w:lang w:eastAsia="fr-FR"/>
        </w:rPr>
        <w:t>;</w:t>
      </w:r>
    </w:p>
    <w:p w14:paraId="499DBF55" w14:textId="77777777" w:rsidR="004826D9" w:rsidRDefault="004826D9">
      <w:pPr>
        <w:pStyle w:val="Paragraphedeliste"/>
        <w:numPr>
          <w:ilvl w:val="0"/>
          <w:numId w:val="43"/>
        </w:numPr>
        <w:spacing w:after="0" w:line="240" w:lineRule="auto"/>
        <w:jc w:val="both"/>
        <w:rPr>
          <w:rFonts w:ascii="Calibri" w:eastAsia="Times New Roman" w:hAnsi="Calibri" w:cs="Calibri"/>
          <w:lang w:eastAsia="fr-FR"/>
        </w:rPr>
      </w:pPr>
      <w:r w:rsidRPr="00AB0563">
        <w:rPr>
          <w:rFonts w:ascii="Calibri" w:eastAsia="Times New Roman" w:hAnsi="Calibri" w:cs="Calibri"/>
          <w:lang w:eastAsia="fr-FR"/>
        </w:rPr>
        <w:t xml:space="preserve">Les services et instruments de paiement </w:t>
      </w:r>
      <w:r>
        <w:rPr>
          <w:rFonts w:ascii="Calibri" w:eastAsia="Times New Roman" w:hAnsi="Calibri" w:cs="Calibri"/>
          <w:lang w:eastAsia="fr-FR"/>
        </w:rPr>
        <w:t xml:space="preserve">permettant d’accéder aux biens et services de base </w:t>
      </w:r>
      <w:r w:rsidRPr="00AB0563">
        <w:rPr>
          <w:rFonts w:ascii="Calibri" w:eastAsia="Times New Roman" w:hAnsi="Calibri" w:cs="Calibri"/>
          <w:lang w:eastAsia="fr-FR"/>
        </w:rPr>
        <w:t>;</w:t>
      </w:r>
    </w:p>
    <w:p w14:paraId="21463F0B" w14:textId="77777777" w:rsidR="004826D9" w:rsidRDefault="004826D9" w:rsidP="000545FF">
      <w:pPr>
        <w:pStyle w:val="Paragraphedeliste"/>
        <w:numPr>
          <w:ilvl w:val="0"/>
          <w:numId w:val="43"/>
        </w:numPr>
        <w:spacing w:after="0" w:line="240" w:lineRule="auto"/>
        <w:jc w:val="both"/>
        <w:rPr>
          <w:rFonts w:ascii="Calibri" w:eastAsia="Times New Roman" w:hAnsi="Calibri" w:cs="Calibri"/>
          <w:lang w:eastAsia="fr-FR"/>
        </w:rPr>
      </w:pPr>
      <w:r w:rsidRPr="00AB0563">
        <w:rPr>
          <w:rFonts w:ascii="Calibri" w:eastAsia="Times New Roman" w:hAnsi="Calibri" w:cs="Calibri"/>
          <w:lang w:eastAsia="fr-FR"/>
        </w:rPr>
        <w:t xml:space="preserve">L'épargne, formelle ou informelle, est positivement associée à une plus grande résilience lorsque les personnes sont confrontées à des chocs négatifs de revenus ; </w:t>
      </w:r>
    </w:p>
    <w:p w14:paraId="4C09A804" w14:textId="3EDEC251" w:rsidR="00586F71" w:rsidRDefault="00586F71" w:rsidP="000545FF">
      <w:pPr>
        <w:pStyle w:val="Paragraphedeliste"/>
        <w:numPr>
          <w:ilvl w:val="0"/>
          <w:numId w:val="43"/>
        </w:numPr>
        <w:spacing w:after="0" w:line="240" w:lineRule="auto"/>
        <w:jc w:val="both"/>
        <w:rPr>
          <w:rFonts w:ascii="Calibri" w:eastAsia="Times New Roman" w:hAnsi="Calibri" w:cs="Calibri"/>
          <w:lang w:eastAsia="fr-FR"/>
        </w:rPr>
      </w:pPr>
      <w:r w:rsidRPr="00AB0563">
        <w:rPr>
          <w:rFonts w:ascii="Calibri" w:eastAsia="Times New Roman" w:hAnsi="Calibri" w:cs="Calibri"/>
          <w:lang w:eastAsia="fr-FR"/>
        </w:rPr>
        <w:t>L'accès au crédit peut,</w:t>
      </w:r>
      <w:r w:rsidR="004826D9">
        <w:rPr>
          <w:rFonts w:ascii="Calibri" w:eastAsia="Times New Roman" w:hAnsi="Calibri" w:cs="Calibri"/>
          <w:lang w:eastAsia="fr-FR"/>
        </w:rPr>
        <w:t xml:space="preserve"> lorsque les conditions sont réunies, permettre aux migrant</w:t>
      </w:r>
      <w:r w:rsidR="00483364">
        <w:rPr>
          <w:rFonts w:ascii="Calibri" w:eastAsia="Times New Roman" w:hAnsi="Calibri" w:cs="Calibri"/>
          <w:lang w:eastAsia="fr-FR"/>
        </w:rPr>
        <w:t>-e-</w:t>
      </w:r>
      <w:r w:rsidR="004826D9">
        <w:rPr>
          <w:rFonts w:ascii="Calibri" w:eastAsia="Times New Roman" w:hAnsi="Calibri" w:cs="Calibri"/>
          <w:lang w:eastAsia="fr-FR"/>
        </w:rPr>
        <w:t xml:space="preserve">s </w:t>
      </w:r>
      <w:r w:rsidR="004F5C02">
        <w:rPr>
          <w:rFonts w:ascii="Calibri" w:eastAsia="Times New Roman" w:hAnsi="Calibri" w:cs="Calibri"/>
          <w:lang w:eastAsia="fr-FR"/>
        </w:rPr>
        <w:t xml:space="preserve">d’améliorer leur accès au marché du travail local ou de </w:t>
      </w:r>
      <w:r w:rsidR="004826D9">
        <w:rPr>
          <w:rFonts w:ascii="Calibri" w:eastAsia="Times New Roman" w:hAnsi="Calibri" w:cs="Calibri"/>
          <w:lang w:eastAsia="fr-FR"/>
        </w:rPr>
        <w:t xml:space="preserve">développer </w:t>
      </w:r>
      <w:r w:rsidR="004F5C02">
        <w:rPr>
          <w:rFonts w:ascii="Calibri" w:eastAsia="Times New Roman" w:hAnsi="Calibri" w:cs="Calibri"/>
          <w:lang w:eastAsia="fr-FR"/>
        </w:rPr>
        <w:t>un projet entrepreneurial</w:t>
      </w:r>
      <w:r w:rsidR="004826D9">
        <w:rPr>
          <w:rFonts w:ascii="Calibri" w:eastAsia="Times New Roman" w:hAnsi="Calibri" w:cs="Calibri"/>
          <w:lang w:eastAsia="fr-FR"/>
        </w:rPr>
        <w:t xml:space="preserve"> : </w:t>
      </w:r>
      <w:r w:rsidRPr="00AB0563">
        <w:rPr>
          <w:rFonts w:ascii="Calibri" w:eastAsia="Times New Roman" w:hAnsi="Calibri" w:cs="Calibri"/>
          <w:lang w:eastAsia="fr-FR"/>
        </w:rPr>
        <w:t xml:space="preserve">l'acquisition de nouvelles compétences, ou le paiement de frais </w:t>
      </w:r>
      <w:r w:rsidR="004F5C02">
        <w:rPr>
          <w:rFonts w:ascii="Calibri" w:eastAsia="Times New Roman" w:hAnsi="Calibri" w:cs="Calibri"/>
          <w:lang w:eastAsia="fr-FR"/>
        </w:rPr>
        <w:t>de déplacement ou administratifs (</w:t>
      </w:r>
      <w:r w:rsidRPr="00AB0563">
        <w:rPr>
          <w:rFonts w:ascii="Calibri" w:eastAsia="Times New Roman" w:hAnsi="Calibri" w:cs="Calibri"/>
          <w:lang w:eastAsia="fr-FR"/>
        </w:rPr>
        <w:t>pour l'achat de permis par exemple</w:t>
      </w:r>
      <w:r w:rsidR="004F5C02">
        <w:rPr>
          <w:rFonts w:ascii="Calibri" w:eastAsia="Times New Roman" w:hAnsi="Calibri" w:cs="Calibri"/>
          <w:lang w:eastAsia="fr-FR"/>
        </w:rPr>
        <w:t>) momentanés</w:t>
      </w:r>
      <w:r w:rsidRPr="00AB0563">
        <w:rPr>
          <w:rFonts w:ascii="Calibri" w:eastAsia="Times New Roman" w:hAnsi="Calibri" w:cs="Calibri"/>
          <w:lang w:eastAsia="fr-FR"/>
        </w:rPr>
        <w:t xml:space="preserve"> ;</w:t>
      </w:r>
    </w:p>
    <w:p w14:paraId="3F0A290C" w14:textId="5592B237" w:rsidR="00AB0563" w:rsidRPr="00AB0563" w:rsidRDefault="00AB0563" w:rsidP="000545FF">
      <w:pPr>
        <w:pStyle w:val="Paragraphedeliste"/>
        <w:numPr>
          <w:ilvl w:val="0"/>
          <w:numId w:val="43"/>
        </w:numPr>
        <w:spacing w:after="0" w:line="240" w:lineRule="auto"/>
        <w:jc w:val="both"/>
        <w:rPr>
          <w:rFonts w:ascii="Calibri" w:eastAsia="Times New Roman" w:hAnsi="Calibri" w:cs="Calibri"/>
          <w:lang w:eastAsia="fr-FR"/>
        </w:rPr>
      </w:pPr>
      <w:r w:rsidRPr="00AB0563">
        <w:rPr>
          <w:rFonts w:ascii="Calibri" w:eastAsia="Times New Roman" w:hAnsi="Calibri" w:cs="Calibri"/>
          <w:lang w:eastAsia="fr-FR"/>
        </w:rPr>
        <w:t>Les assurance</w:t>
      </w:r>
      <w:r>
        <w:rPr>
          <w:rFonts w:ascii="Calibri" w:eastAsia="Times New Roman" w:hAnsi="Calibri" w:cs="Calibri"/>
          <w:lang w:eastAsia="fr-FR"/>
        </w:rPr>
        <w:t>s</w:t>
      </w:r>
      <w:r w:rsidRPr="00AB0563">
        <w:rPr>
          <w:rFonts w:ascii="Calibri" w:eastAsia="Times New Roman" w:hAnsi="Calibri" w:cs="Calibri"/>
          <w:lang w:eastAsia="fr-FR"/>
        </w:rPr>
        <w:t>, qui peuvent couvrir la vie, la santé, biens, etc., constituent des outils de gestion des risques</w:t>
      </w:r>
      <w:r w:rsidR="00271310">
        <w:rPr>
          <w:rFonts w:ascii="Calibri" w:eastAsia="Times New Roman" w:hAnsi="Calibri" w:cs="Calibri"/>
          <w:lang w:eastAsia="fr-FR"/>
        </w:rPr>
        <w:t>.</w:t>
      </w:r>
    </w:p>
    <w:p w14:paraId="50DF7BDF" w14:textId="1B30B27D" w:rsidR="008F6CD1" w:rsidRDefault="008F6CD1" w:rsidP="008F6CD1">
      <w:pPr>
        <w:spacing w:after="0" w:line="240" w:lineRule="auto"/>
        <w:jc w:val="both"/>
        <w:rPr>
          <w:rFonts w:ascii="Calibri" w:eastAsia="Times New Roman" w:hAnsi="Calibri" w:cs="Calibri"/>
          <w:b/>
          <w:lang w:eastAsia="fr-FR"/>
        </w:rPr>
      </w:pPr>
    </w:p>
    <w:p w14:paraId="104311AA" w14:textId="190BEDEC" w:rsidR="004826D9" w:rsidRDefault="004826D9" w:rsidP="002E3B11">
      <w:pPr>
        <w:spacing w:after="0" w:line="240" w:lineRule="auto"/>
        <w:jc w:val="both"/>
        <w:rPr>
          <w:rFonts w:ascii="Calibri" w:eastAsia="Times New Roman" w:hAnsi="Calibri" w:cs="Calibri"/>
          <w:lang w:eastAsia="fr-FR"/>
        </w:rPr>
      </w:pPr>
      <w:r>
        <w:rPr>
          <w:rFonts w:ascii="Calibri" w:eastAsia="Times New Roman" w:hAnsi="Calibri" w:cs="Calibri"/>
          <w:lang w:eastAsia="fr-FR"/>
        </w:rPr>
        <w:t>Ainsi</w:t>
      </w:r>
      <w:r w:rsidR="008F6CD1" w:rsidRPr="00480C75">
        <w:rPr>
          <w:rFonts w:ascii="Calibri" w:eastAsia="Times New Roman" w:hAnsi="Calibri" w:cs="Calibri"/>
          <w:lang w:eastAsia="fr-FR"/>
        </w:rPr>
        <w:t>, la demande de services financiers parmi</w:t>
      </w:r>
      <w:r w:rsidR="002E3B11" w:rsidRPr="00480C75">
        <w:rPr>
          <w:rFonts w:ascii="Calibri" w:eastAsia="Times New Roman" w:hAnsi="Calibri" w:cs="Calibri"/>
          <w:lang w:eastAsia="fr-FR"/>
        </w:rPr>
        <w:t xml:space="preserve"> les</w:t>
      </w:r>
      <w:r w:rsidR="008F6CD1" w:rsidRPr="00480C75">
        <w:rPr>
          <w:rFonts w:ascii="Calibri" w:eastAsia="Times New Roman" w:hAnsi="Calibri" w:cs="Calibri"/>
          <w:lang w:eastAsia="fr-FR"/>
        </w:rPr>
        <w:t xml:space="preserve"> </w:t>
      </w:r>
      <w:r w:rsidR="002E3B11" w:rsidRPr="00480C75">
        <w:rPr>
          <w:rFonts w:ascii="Calibri" w:eastAsia="Times New Roman" w:hAnsi="Calibri" w:cs="Calibri"/>
          <w:lang w:eastAsia="fr-FR"/>
        </w:rPr>
        <w:t>migrant</w:t>
      </w:r>
      <w:r w:rsidR="00483364">
        <w:rPr>
          <w:rFonts w:ascii="Calibri" w:eastAsia="Times New Roman" w:hAnsi="Calibri" w:cs="Calibri"/>
          <w:lang w:eastAsia="fr-FR"/>
        </w:rPr>
        <w:t>-e-</w:t>
      </w:r>
      <w:r w:rsidR="002E3B11" w:rsidRPr="00480C75">
        <w:rPr>
          <w:rFonts w:ascii="Calibri" w:eastAsia="Times New Roman" w:hAnsi="Calibri" w:cs="Calibri"/>
          <w:lang w:eastAsia="fr-FR"/>
        </w:rPr>
        <w:t xml:space="preserve">s </w:t>
      </w:r>
      <w:r w:rsidR="008F6CD1" w:rsidRPr="00480C75">
        <w:rPr>
          <w:rFonts w:ascii="Calibri" w:eastAsia="Times New Roman" w:hAnsi="Calibri" w:cs="Calibri"/>
          <w:lang w:eastAsia="fr-FR"/>
        </w:rPr>
        <w:t>est élevée</w:t>
      </w:r>
      <w:r>
        <w:rPr>
          <w:rFonts w:ascii="Calibri" w:eastAsia="Times New Roman" w:hAnsi="Calibri" w:cs="Calibri"/>
          <w:lang w:eastAsia="fr-FR"/>
        </w:rPr>
        <w:t xml:space="preserve"> et la nature des services financiers recherchés diffère peu des services financiers proposés par les institutions financières formelles au reste de la population. Néanmoin</w:t>
      </w:r>
      <w:r w:rsidR="008F6CD1" w:rsidRPr="00480C75">
        <w:rPr>
          <w:rFonts w:ascii="Calibri" w:eastAsia="Times New Roman" w:hAnsi="Calibri" w:cs="Calibri"/>
          <w:lang w:eastAsia="fr-FR"/>
        </w:rPr>
        <w:t>s</w:t>
      </w:r>
      <w:r>
        <w:rPr>
          <w:rFonts w:ascii="Calibri" w:eastAsia="Times New Roman" w:hAnsi="Calibri" w:cs="Calibri"/>
          <w:lang w:eastAsia="fr-FR"/>
        </w:rPr>
        <w:t>,</w:t>
      </w:r>
      <w:r w:rsidR="008F6CD1" w:rsidRPr="00480C75">
        <w:rPr>
          <w:rFonts w:ascii="Calibri" w:eastAsia="Times New Roman" w:hAnsi="Calibri" w:cs="Calibri"/>
          <w:lang w:eastAsia="fr-FR"/>
        </w:rPr>
        <w:t xml:space="preserve"> l’offre </w:t>
      </w:r>
      <w:r>
        <w:rPr>
          <w:rFonts w:ascii="Calibri" w:eastAsia="Times New Roman" w:hAnsi="Calibri" w:cs="Calibri"/>
          <w:lang w:eastAsia="fr-FR"/>
        </w:rPr>
        <w:t>demeure</w:t>
      </w:r>
      <w:r w:rsidRPr="00480C75">
        <w:rPr>
          <w:rFonts w:ascii="Calibri" w:eastAsia="Times New Roman" w:hAnsi="Calibri" w:cs="Calibri"/>
          <w:lang w:eastAsia="fr-FR"/>
        </w:rPr>
        <w:t xml:space="preserve"> </w:t>
      </w:r>
      <w:r w:rsidR="008F6CD1" w:rsidRPr="00480C75">
        <w:rPr>
          <w:rFonts w:ascii="Calibri" w:eastAsia="Times New Roman" w:hAnsi="Calibri" w:cs="Calibri"/>
          <w:lang w:eastAsia="fr-FR"/>
        </w:rPr>
        <w:t>faible</w:t>
      </w:r>
      <w:r w:rsidR="002E3B11" w:rsidRPr="00480C75">
        <w:rPr>
          <w:rFonts w:ascii="Calibri" w:eastAsia="Times New Roman" w:hAnsi="Calibri" w:cs="Calibri"/>
          <w:lang w:eastAsia="fr-FR"/>
        </w:rPr>
        <w:t>,</w:t>
      </w:r>
      <w:r w:rsidR="002E3B11" w:rsidRPr="002E3B11">
        <w:rPr>
          <w:rFonts w:ascii="Calibri" w:eastAsia="Times New Roman" w:hAnsi="Calibri" w:cs="Calibri"/>
          <w:lang w:eastAsia="fr-FR"/>
        </w:rPr>
        <w:t xml:space="preserve"> ce qui </w:t>
      </w:r>
      <w:r>
        <w:rPr>
          <w:rFonts w:ascii="Calibri" w:eastAsia="Times New Roman" w:hAnsi="Calibri" w:cs="Calibri"/>
          <w:lang w:eastAsia="fr-FR"/>
        </w:rPr>
        <w:t>pousse le plus souvent les migrant</w:t>
      </w:r>
      <w:r w:rsidR="00483364">
        <w:rPr>
          <w:rFonts w:ascii="Calibri" w:eastAsia="Times New Roman" w:hAnsi="Calibri" w:cs="Calibri"/>
          <w:lang w:eastAsia="fr-FR"/>
        </w:rPr>
        <w:t>-e-</w:t>
      </w:r>
      <w:r>
        <w:rPr>
          <w:rFonts w:ascii="Calibri" w:eastAsia="Times New Roman" w:hAnsi="Calibri" w:cs="Calibri"/>
          <w:lang w:eastAsia="fr-FR"/>
        </w:rPr>
        <w:t>s, à l’instar d’autres populations vulnérables</w:t>
      </w:r>
      <w:r w:rsidR="004F5C02">
        <w:rPr>
          <w:rFonts w:ascii="Calibri" w:eastAsia="Times New Roman" w:hAnsi="Calibri" w:cs="Calibri"/>
          <w:lang w:eastAsia="fr-FR"/>
        </w:rPr>
        <w:t>,</w:t>
      </w:r>
      <w:r w:rsidR="002E3B11" w:rsidRPr="002E3B11">
        <w:rPr>
          <w:rFonts w:ascii="Calibri" w:eastAsia="Times New Roman" w:hAnsi="Calibri" w:cs="Calibri"/>
          <w:lang w:eastAsia="fr-FR"/>
        </w:rPr>
        <w:t xml:space="preserve"> à recourir </w:t>
      </w:r>
      <w:r w:rsidR="008F6CD1" w:rsidRPr="002E3B11">
        <w:rPr>
          <w:rFonts w:ascii="Calibri" w:eastAsia="Times New Roman" w:hAnsi="Calibri" w:cs="Calibri"/>
          <w:lang w:eastAsia="fr-FR"/>
        </w:rPr>
        <w:t xml:space="preserve">aux services financiers informels. </w:t>
      </w:r>
    </w:p>
    <w:p w14:paraId="19A3C3CD" w14:textId="77777777" w:rsidR="004826D9" w:rsidRDefault="004826D9" w:rsidP="002E3B11">
      <w:pPr>
        <w:spacing w:after="0" w:line="240" w:lineRule="auto"/>
        <w:jc w:val="both"/>
        <w:rPr>
          <w:rFonts w:ascii="Calibri" w:eastAsia="Times New Roman" w:hAnsi="Calibri" w:cs="Calibri"/>
          <w:lang w:eastAsia="fr-FR"/>
        </w:rPr>
      </w:pPr>
    </w:p>
    <w:p w14:paraId="2DA58DAA" w14:textId="7B39CD9C" w:rsidR="00271310" w:rsidRPr="00C06B78" w:rsidRDefault="002E3B11" w:rsidP="000545FF">
      <w:pPr>
        <w:spacing w:after="0" w:line="240" w:lineRule="auto"/>
        <w:jc w:val="both"/>
        <w:rPr>
          <w:lang w:eastAsia="fr-FR"/>
        </w:rPr>
      </w:pPr>
      <w:r w:rsidRPr="00480C75">
        <w:rPr>
          <w:rFonts w:ascii="Calibri" w:eastAsia="Times New Roman" w:hAnsi="Calibri" w:cs="Calibri"/>
          <w:b/>
          <w:lang w:eastAsia="fr-FR"/>
        </w:rPr>
        <w:t xml:space="preserve">Les obstacles à l’inclusion financière </w:t>
      </w:r>
      <w:r w:rsidR="00480C75" w:rsidRPr="00480C75">
        <w:rPr>
          <w:rFonts w:ascii="Calibri" w:eastAsia="Times New Roman" w:hAnsi="Calibri" w:cs="Calibri"/>
          <w:b/>
          <w:lang w:eastAsia="fr-FR"/>
        </w:rPr>
        <w:t xml:space="preserve">des </w:t>
      </w:r>
      <w:r w:rsidR="00F3770A">
        <w:rPr>
          <w:rFonts w:ascii="Calibri" w:eastAsia="Times New Roman" w:hAnsi="Calibri" w:cs="Calibri"/>
          <w:b/>
          <w:lang w:eastAsia="fr-FR"/>
        </w:rPr>
        <w:t>déplacé</w:t>
      </w:r>
      <w:r w:rsidR="00483364">
        <w:rPr>
          <w:rFonts w:ascii="Calibri" w:eastAsia="Times New Roman" w:hAnsi="Calibri" w:cs="Calibri"/>
          <w:b/>
          <w:lang w:eastAsia="fr-FR"/>
        </w:rPr>
        <w:t>-e-</w:t>
      </w:r>
      <w:r w:rsidR="00F3770A">
        <w:rPr>
          <w:rFonts w:ascii="Calibri" w:eastAsia="Times New Roman" w:hAnsi="Calibri" w:cs="Calibri"/>
          <w:b/>
          <w:lang w:eastAsia="fr-FR"/>
        </w:rPr>
        <w:t>s forcé</w:t>
      </w:r>
      <w:r w:rsidR="00483364">
        <w:rPr>
          <w:rFonts w:ascii="Calibri" w:eastAsia="Times New Roman" w:hAnsi="Calibri" w:cs="Calibri"/>
          <w:b/>
          <w:lang w:eastAsia="fr-FR"/>
        </w:rPr>
        <w:t>-e-</w:t>
      </w:r>
      <w:r w:rsidR="00F3770A">
        <w:rPr>
          <w:rFonts w:ascii="Calibri" w:eastAsia="Times New Roman" w:hAnsi="Calibri" w:cs="Calibri"/>
          <w:b/>
          <w:lang w:eastAsia="fr-FR"/>
        </w:rPr>
        <w:t xml:space="preserve">s et des </w:t>
      </w:r>
      <w:r w:rsidR="00480C75" w:rsidRPr="00480C75">
        <w:rPr>
          <w:rFonts w:ascii="Calibri" w:eastAsia="Times New Roman" w:hAnsi="Calibri" w:cs="Calibri"/>
          <w:b/>
          <w:lang w:eastAsia="fr-FR"/>
        </w:rPr>
        <w:t>migrant</w:t>
      </w:r>
      <w:r w:rsidR="00483364">
        <w:rPr>
          <w:rFonts w:ascii="Calibri" w:eastAsia="Times New Roman" w:hAnsi="Calibri" w:cs="Calibri"/>
          <w:b/>
          <w:lang w:eastAsia="fr-FR"/>
        </w:rPr>
        <w:t>-e-</w:t>
      </w:r>
      <w:r w:rsidR="00480C75" w:rsidRPr="00480C75">
        <w:rPr>
          <w:rFonts w:ascii="Calibri" w:eastAsia="Times New Roman" w:hAnsi="Calibri" w:cs="Calibri"/>
          <w:b/>
          <w:lang w:eastAsia="fr-FR"/>
        </w:rPr>
        <w:t xml:space="preserve">s </w:t>
      </w:r>
      <w:r w:rsidRPr="00480C75">
        <w:rPr>
          <w:rFonts w:ascii="Calibri" w:eastAsia="Times New Roman" w:hAnsi="Calibri" w:cs="Calibri"/>
          <w:b/>
          <w:lang w:eastAsia="fr-FR"/>
        </w:rPr>
        <w:t xml:space="preserve">sont </w:t>
      </w:r>
      <w:r w:rsidR="004826D9">
        <w:rPr>
          <w:rFonts w:ascii="Calibri" w:eastAsia="Times New Roman" w:hAnsi="Calibri" w:cs="Calibri"/>
          <w:b/>
          <w:lang w:eastAsia="fr-FR"/>
        </w:rPr>
        <w:t>de différents ordres</w:t>
      </w:r>
      <w:r w:rsidR="004826D9">
        <w:rPr>
          <w:rFonts w:ascii="Calibri" w:eastAsia="Times New Roman" w:hAnsi="Calibri" w:cs="Calibri"/>
          <w:lang w:eastAsia="fr-FR"/>
        </w:rPr>
        <w:t>. L’un des facteurs tient au</w:t>
      </w:r>
      <w:r w:rsidR="008F6CD1" w:rsidRPr="000545FF">
        <w:rPr>
          <w:rFonts w:ascii="Calibri" w:eastAsia="Times New Roman" w:hAnsi="Calibri" w:cs="Calibri"/>
          <w:lang w:eastAsia="fr-FR"/>
        </w:rPr>
        <w:t xml:space="preserve"> </w:t>
      </w:r>
      <w:r w:rsidRPr="000545FF">
        <w:rPr>
          <w:rFonts w:ascii="Calibri" w:eastAsia="Times New Roman" w:hAnsi="Calibri" w:cs="Calibri"/>
          <w:lang w:eastAsia="fr-FR"/>
        </w:rPr>
        <w:t>sous-développement du secteur financier</w:t>
      </w:r>
      <w:r w:rsidR="008F6CD1" w:rsidRPr="000545FF">
        <w:rPr>
          <w:rFonts w:ascii="Calibri" w:eastAsia="Times New Roman" w:hAnsi="Calibri" w:cs="Calibri"/>
          <w:lang w:eastAsia="fr-FR"/>
        </w:rPr>
        <w:t xml:space="preserve"> </w:t>
      </w:r>
      <w:r w:rsidRPr="000545FF">
        <w:rPr>
          <w:rFonts w:ascii="Calibri" w:eastAsia="Times New Roman" w:hAnsi="Calibri" w:cs="Calibri"/>
          <w:lang w:eastAsia="fr-FR"/>
        </w:rPr>
        <w:t>du</w:t>
      </w:r>
      <w:r w:rsidR="008F6CD1" w:rsidRPr="000545FF">
        <w:rPr>
          <w:rFonts w:ascii="Calibri" w:eastAsia="Times New Roman" w:hAnsi="Calibri" w:cs="Calibri"/>
          <w:lang w:eastAsia="fr-FR"/>
        </w:rPr>
        <w:t xml:space="preserve"> </w:t>
      </w:r>
      <w:r w:rsidRPr="000545FF">
        <w:rPr>
          <w:rFonts w:ascii="Calibri" w:eastAsia="Times New Roman" w:hAnsi="Calibri" w:cs="Calibri"/>
          <w:lang w:eastAsia="fr-FR"/>
        </w:rPr>
        <w:t>territoire</w:t>
      </w:r>
      <w:r w:rsidR="008F6CD1" w:rsidRPr="000545FF">
        <w:rPr>
          <w:rFonts w:ascii="Calibri" w:eastAsia="Times New Roman" w:hAnsi="Calibri" w:cs="Calibri"/>
          <w:lang w:eastAsia="fr-FR"/>
        </w:rPr>
        <w:t xml:space="preserve"> d’origine </w:t>
      </w:r>
      <w:r w:rsidRPr="000545FF">
        <w:rPr>
          <w:rFonts w:ascii="Calibri" w:eastAsia="Times New Roman" w:hAnsi="Calibri" w:cs="Calibri"/>
          <w:lang w:eastAsia="fr-FR"/>
        </w:rPr>
        <w:t>et/ou</w:t>
      </w:r>
      <w:r w:rsidR="008F6CD1" w:rsidRPr="000545FF">
        <w:rPr>
          <w:rFonts w:ascii="Calibri" w:eastAsia="Times New Roman" w:hAnsi="Calibri" w:cs="Calibri"/>
          <w:lang w:eastAsia="fr-FR"/>
        </w:rPr>
        <w:t xml:space="preserve"> </w:t>
      </w:r>
      <w:r w:rsidRPr="000545FF">
        <w:rPr>
          <w:rFonts w:ascii="Calibri" w:eastAsia="Times New Roman" w:hAnsi="Calibri" w:cs="Calibri"/>
          <w:lang w:eastAsia="fr-FR"/>
        </w:rPr>
        <w:t xml:space="preserve">du </w:t>
      </w:r>
      <w:r w:rsidR="008F6CD1" w:rsidRPr="000545FF">
        <w:rPr>
          <w:rFonts w:ascii="Calibri" w:eastAsia="Times New Roman" w:hAnsi="Calibri" w:cs="Calibri"/>
          <w:lang w:eastAsia="fr-FR"/>
        </w:rPr>
        <w:t xml:space="preserve">pays </w:t>
      </w:r>
      <w:r w:rsidR="004826D9">
        <w:rPr>
          <w:rFonts w:ascii="Calibri" w:eastAsia="Times New Roman" w:hAnsi="Calibri" w:cs="Calibri"/>
          <w:lang w:eastAsia="fr-FR"/>
        </w:rPr>
        <w:t>d’accueil</w:t>
      </w:r>
      <w:r>
        <w:rPr>
          <w:rStyle w:val="Appelnotedebasdep"/>
          <w:rFonts w:ascii="Calibri" w:eastAsia="Times New Roman" w:hAnsi="Calibri" w:cs="Calibri"/>
          <w:lang w:eastAsia="fr-FR"/>
        </w:rPr>
        <w:footnoteReference w:id="5"/>
      </w:r>
      <w:r w:rsidR="008F6CD1" w:rsidRPr="000545FF">
        <w:rPr>
          <w:rFonts w:ascii="Calibri" w:eastAsia="Times New Roman" w:hAnsi="Calibri" w:cs="Calibri"/>
          <w:lang w:eastAsia="fr-FR"/>
        </w:rPr>
        <w:t>.</w:t>
      </w:r>
      <w:r w:rsidR="004826D9">
        <w:rPr>
          <w:rFonts w:ascii="Calibri" w:eastAsia="Times New Roman" w:hAnsi="Calibri" w:cs="Calibri"/>
          <w:lang w:eastAsia="fr-FR"/>
        </w:rPr>
        <w:t xml:space="preserve"> Dans de nombreux cas, l</w:t>
      </w:r>
      <w:r w:rsidR="008F6CD1" w:rsidRPr="000545FF">
        <w:rPr>
          <w:rFonts w:ascii="Calibri" w:eastAsia="Times New Roman" w:hAnsi="Calibri" w:cs="Calibri"/>
          <w:lang w:eastAsia="fr-FR"/>
        </w:rPr>
        <w:t>es fournisseurs de services financiers manquent de familiarité avec ce segment de marché</w:t>
      </w:r>
      <w:r w:rsidR="004826D9">
        <w:rPr>
          <w:rFonts w:ascii="Calibri" w:eastAsia="Times New Roman" w:hAnsi="Calibri" w:cs="Calibri"/>
          <w:lang w:eastAsia="fr-FR"/>
        </w:rPr>
        <w:t xml:space="preserve"> (absence </w:t>
      </w:r>
      <w:r w:rsidR="008F6CD1" w:rsidRPr="000545FF">
        <w:rPr>
          <w:rFonts w:ascii="Calibri" w:eastAsia="Times New Roman" w:hAnsi="Calibri" w:cs="Calibri"/>
          <w:lang w:eastAsia="fr-FR"/>
        </w:rPr>
        <w:t>d'informations sur les possibilités de subsistance des migrant</w:t>
      </w:r>
      <w:r w:rsidR="00483364">
        <w:rPr>
          <w:rFonts w:ascii="Calibri" w:eastAsia="Times New Roman" w:hAnsi="Calibri" w:cs="Calibri"/>
          <w:lang w:eastAsia="fr-FR"/>
        </w:rPr>
        <w:t>-e-</w:t>
      </w:r>
      <w:r w:rsidR="008F6CD1" w:rsidRPr="000545FF">
        <w:rPr>
          <w:rFonts w:ascii="Calibri" w:eastAsia="Times New Roman" w:hAnsi="Calibri" w:cs="Calibri"/>
          <w:lang w:eastAsia="fr-FR"/>
        </w:rPr>
        <w:t>s</w:t>
      </w:r>
      <w:r w:rsidR="004826D9">
        <w:rPr>
          <w:rFonts w:ascii="Calibri" w:eastAsia="Times New Roman" w:hAnsi="Calibri" w:cs="Calibri"/>
          <w:lang w:eastAsia="fr-FR"/>
        </w:rPr>
        <w:t>, la durée moyenne de leur séjour dans le pays d’accueil, leur profil de</w:t>
      </w:r>
      <w:r w:rsidR="008F6CD1" w:rsidRPr="000545FF">
        <w:rPr>
          <w:rFonts w:ascii="Calibri" w:eastAsia="Times New Roman" w:hAnsi="Calibri" w:cs="Calibri"/>
          <w:lang w:eastAsia="fr-FR"/>
        </w:rPr>
        <w:t xml:space="preserve"> risque</w:t>
      </w:r>
      <w:r w:rsidR="004826D9">
        <w:rPr>
          <w:rFonts w:ascii="Calibri" w:eastAsia="Times New Roman" w:hAnsi="Calibri" w:cs="Calibri"/>
          <w:lang w:eastAsia="fr-FR"/>
        </w:rPr>
        <w:t xml:space="preserve">, etc.) </w:t>
      </w:r>
      <w:r w:rsidR="00480C75" w:rsidRPr="000545FF">
        <w:rPr>
          <w:rFonts w:ascii="Calibri" w:eastAsia="Times New Roman" w:hAnsi="Calibri" w:cs="Calibri"/>
          <w:lang w:eastAsia="fr-FR"/>
        </w:rPr>
        <w:t>e</w:t>
      </w:r>
      <w:r w:rsidR="004826D9">
        <w:rPr>
          <w:rFonts w:ascii="Calibri" w:eastAsia="Times New Roman" w:hAnsi="Calibri" w:cs="Calibri"/>
          <w:lang w:eastAsia="fr-FR"/>
        </w:rPr>
        <w:t>t considère</w:t>
      </w:r>
      <w:r w:rsidR="00DB0759">
        <w:rPr>
          <w:rFonts w:ascii="Calibri" w:eastAsia="Times New Roman" w:hAnsi="Calibri" w:cs="Calibri"/>
          <w:lang w:eastAsia="fr-FR"/>
        </w:rPr>
        <w:t>nt</w:t>
      </w:r>
      <w:r w:rsidR="004826D9">
        <w:rPr>
          <w:rFonts w:ascii="Calibri" w:eastAsia="Times New Roman" w:hAnsi="Calibri" w:cs="Calibri"/>
          <w:lang w:eastAsia="fr-FR"/>
        </w:rPr>
        <w:t xml:space="preserve"> ainsi qu’il ne s’agit pas</w:t>
      </w:r>
      <w:r w:rsidR="00480C75" w:rsidRPr="000545FF">
        <w:rPr>
          <w:rFonts w:ascii="Calibri" w:eastAsia="Times New Roman" w:hAnsi="Calibri" w:cs="Calibri"/>
          <w:lang w:eastAsia="fr-FR"/>
        </w:rPr>
        <w:t xml:space="preserve"> </w:t>
      </w:r>
      <w:r w:rsidR="004826D9">
        <w:rPr>
          <w:rFonts w:ascii="Calibri" w:eastAsia="Times New Roman" w:hAnsi="Calibri" w:cs="Calibri"/>
          <w:lang w:eastAsia="fr-FR"/>
        </w:rPr>
        <w:t>d’</w:t>
      </w:r>
      <w:r w:rsidR="00480C75" w:rsidRPr="000545FF">
        <w:rPr>
          <w:rFonts w:ascii="Calibri" w:eastAsia="Times New Roman" w:hAnsi="Calibri" w:cs="Calibri"/>
          <w:lang w:eastAsia="fr-FR"/>
        </w:rPr>
        <w:t>un marché viable. Un nombre croissant d’études</w:t>
      </w:r>
      <w:r w:rsidR="008F6CD1" w:rsidRPr="000545FF">
        <w:rPr>
          <w:rFonts w:ascii="Calibri" w:eastAsia="Times New Roman" w:hAnsi="Calibri" w:cs="Calibri"/>
          <w:lang w:eastAsia="fr-FR"/>
        </w:rPr>
        <w:t xml:space="preserve"> montrent</w:t>
      </w:r>
      <w:r w:rsidR="00480C75" w:rsidRPr="000545FF">
        <w:rPr>
          <w:rFonts w:ascii="Calibri" w:eastAsia="Times New Roman" w:hAnsi="Calibri" w:cs="Calibri"/>
          <w:lang w:eastAsia="fr-FR"/>
        </w:rPr>
        <w:t xml:space="preserve"> au contraire</w:t>
      </w:r>
      <w:r w:rsidR="008F6CD1" w:rsidRPr="000545FF">
        <w:rPr>
          <w:rFonts w:ascii="Calibri" w:eastAsia="Times New Roman" w:hAnsi="Calibri" w:cs="Calibri"/>
          <w:lang w:eastAsia="fr-FR"/>
        </w:rPr>
        <w:t xml:space="preserve"> que les migrant</w:t>
      </w:r>
      <w:r w:rsidR="00483364">
        <w:rPr>
          <w:rFonts w:ascii="Calibri" w:eastAsia="Times New Roman" w:hAnsi="Calibri" w:cs="Calibri"/>
          <w:lang w:eastAsia="fr-FR"/>
        </w:rPr>
        <w:t>-e-</w:t>
      </w:r>
      <w:r w:rsidR="008F6CD1" w:rsidRPr="000545FF">
        <w:rPr>
          <w:rFonts w:ascii="Calibri" w:eastAsia="Times New Roman" w:hAnsi="Calibri" w:cs="Calibri"/>
          <w:lang w:eastAsia="fr-FR"/>
        </w:rPr>
        <w:t xml:space="preserve">s </w:t>
      </w:r>
      <w:r w:rsidR="00480C75" w:rsidRPr="000545FF">
        <w:rPr>
          <w:rFonts w:ascii="Calibri" w:eastAsia="Times New Roman" w:hAnsi="Calibri" w:cs="Calibri"/>
          <w:lang w:eastAsia="fr-FR"/>
        </w:rPr>
        <w:t xml:space="preserve">peuvent être </w:t>
      </w:r>
      <w:r w:rsidR="008F6CD1" w:rsidRPr="000545FF">
        <w:rPr>
          <w:rFonts w:ascii="Calibri" w:eastAsia="Times New Roman" w:hAnsi="Calibri" w:cs="Calibri"/>
          <w:lang w:eastAsia="fr-FR"/>
        </w:rPr>
        <w:t>solvables, avec des taux de remboursement</w:t>
      </w:r>
      <w:r w:rsidR="00480C75" w:rsidRPr="000545FF">
        <w:rPr>
          <w:rFonts w:ascii="Calibri" w:eastAsia="Times New Roman" w:hAnsi="Calibri" w:cs="Calibri"/>
          <w:lang w:eastAsia="fr-FR"/>
        </w:rPr>
        <w:t xml:space="preserve"> qui peuvent être</w:t>
      </w:r>
      <w:r w:rsidR="008F6CD1" w:rsidRPr="000545FF">
        <w:rPr>
          <w:rFonts w:ascii="Calibri" w:eastAsia="Times New Roman" w:hAnsi="Calibri" w:cs="Calibri"/>
          <w:lang w:eastAsia="fr-FR"/>
        </w:rPr>
        <w:t xml:space="preserve"> aussi élevés que ceux des non-migrant</w:t>
      </w:r>
      <w:r w:rsidR="00483364">
        <w:rPr>
          <w:rFonts w:ascii="Calibri" w:eastAsia="Times New Roman" w:hAnsi="Calibri" w:cs="Calibri"/>
          <w:lang w:eastAsia="fr-FR"/>
        </w:rPr>
        <w:t>-e-</w:t>
      </w:r>
      <w:r w:rsidR="008F6CD1" w:rsidRPr="000545FF">
        <w:rPr>
          <w:rFonts w:ascii="Calibri" w:eastAsia="Times New Roman" w:hAnsi="Calibri" w:cs="Calibri"/>
          <w:lang w:eastAsia="fr-FR"/>
        </w:rPr>
        <w:t xml:space="preserve">s. Outre </w:t>
      </w:r>
      <w:r w:rsidR="000537A6">
        <w:rPr>
          <w:rFonts w:ascii="Calibri" w:eastAsia="Times New Roman" w:hAnsi="Calibri" w:cs="Calibri"/>
          <w:lang w:eastAsia="fr-FR"/>
        </w:rPr>
        <w:t>cette frilosité du côté de l’offre</w:t>
      </w:r>
      <w:r w:rsidR="008F6CD1" w:rsidRPr="000545FF">
        <w:rPr>
          <w:rFonts w:ascii="Calibri" w:eastAsia="Times New Roman" w:hAnsi="Calibri" w:cs="Calibri"/>
          <w:lang w:eastAsia="fr-FR"/>
        </w:rPr>
        <w:t xml:space="preserve">, les </w:t>
      </w:r>
      <w:r w:rsidR="00480C75" w:rsidRPr="000545FF">
        <w:rPr>
          <w:rFonts w:ascii="Calibri" w:eastAsia="Times New Roman" w:hAnsi="Calibri" w:cs="Calibri"/>
          <w:lang w:eastAsia="fr-FR"/>
        </w:rPr>
        <w:t>migrant</w:t>
      </w:r>
      <w:r w:rsidR="00483364">
        <w:rPr>
          <w:rFonts w:ascii="Calibri" w:eastAsia="Times New Roman" w:hAnsi="Calibri" w:cs="Calibri"/>
          <w:lang w:eastAsia="fr-FR"/>
        </w:rPr>
        <w:t>-e-</w:t>
      </w:r>
      <w:r w:rsidR="00480C75" w:rsidRPr="000545FF">
        <w:rPr>
          <w:rFonts w:ascii="Calibri" w:eastAsia="Times New Roman" w:hAnsi="Calibri" w:cs="Calibri"/>
          <w:lang w:eastAsia="fr-FR"/>
        </w:rPr>
        <w:t>s</w:t>
      </w:r>
      <w:r w:rsidR="008F6CD1" w:rsidRPr="000545FF">
        <w:rPr>
          <w:rFonts w:ascii="Calibri" w:eastAsia="Times New Roman" w:hAnsi="Calibri" w:cs="Calibri"/>
          <w:lang w:eastAsia="fr-FR"/>
        </w:rPr>
        <w:t xml:space="preserve"> </w:t>
      </w:r>
      <w:r w:rsidR="00480C75" w:rsidRPr="000545FF">
        <w:rPr>
          <w:rFonts w:ascii="Calibri" w:eastAsia="Times New Roman" w:hAnsi="Calibri" w:cs="Calibri"/>
          <w:lang w:eastAsia="fr-FR"/>
        </w:rPr>
        <w:t>peuvent faire</w:t>
      </w:r>
      <w:r w:rsidR="008F6CD1" w:rsidRPr="000545FF">
        <w:rPr>
          <w:rFonts w:ascii="Calibri" w:eastAsia="Times New Roman" w:hAnsi="Calibri" w:cs="Calibri"/>
          <w:lang w:eastAsia="fr-FR"/>
        </w:rPr>
        <w:t xml:space="preserve"> face à des restrictions politiques et institutionnelles</w:t>
      </w:r>
      <w:r w:rsidR="000537A6">
        <w:rPr>
          <w:rFonts w:ascii="Calibri" w:eastAsia="Times New Roman" w:hAnsi="Calibri" w:cs="Calibri"/>
          <w:lang w:eastAsia="fr-FR"/>
        </w:rPr>
        <w:t xml:space="preserve"> (accès aux documents d’identification, </w:t>
      </w:r>
      <w:r w:rsidR="008F6CD1" w:rsidRPr="000545FF">
        <w:rPr>
          <w:rFonts w:ascii="Calibri" w:eastAsia="Times New Roman" w:hAnsi="Calibri" w:cs="Calibri"/>
          <w:lang w:eastAsia="fr-FR"/>
        </w:rPr>
        <w:t>capacité à entrer sur le marché du travail local ou à accéder au foncier ou autres actifs</w:t>
      </w:r>
      <w:r w:rsidR="000537A6">
        <w:rPr>
          <w:rFonts w:ascii="Calibri" w:eastAsia="Times New Roman" w:hAnsi="Calibri" w:cs="Calibri"/>
          <w:lang w:eastAsia="fr-FR"/>
        </w:rPr>
        <w:t>) qui peuvent, en fonction de la nature de ces contraintes restreindre totalement leur accès au système financier formel ou le limiter à ce</w:t>
      </w:r>
      <w:r w:rsidR="00DB0759">
        <w:rPr>
          <w:rFonts w:ascii="Calibri" w:eastAsia="Times New Roman" w:hAnsi="Calibri" w:cs="Calibri"/>
          <w:lang w:eastAsia="fr-FR"/>
        </w:rPr>
        <w:t>rtain</w:t>
      </w:r>
      <w:r w:rsidR="000537A6">
        <w:rPr>
          <w:rFonts w:ascii="Calibri" w:eastAsia="Times New Roman" w:hAnsi="Calibri" w:cs="Calibri"/>
          <w:lang w:eastAsia="fr-FR"/>
        </w:rPr>
        <w:t>s produits et services financiers</w:t>
      </w:r>
      <w:r w:rsidR="00DB0759">
        <w:rPr>
          <w:rFonts w:ascii="Calibri" w:eastAsia="Times New Roman" w:hAnsi="Calibri" w:cs="Calibri"/>
          <w:lang w:eastAsia="fr-FR"/>
        </w:rPr>
        <w:t xml:space="preserve"> ne permettant pas de répondre à l’ensemble des objectifs d’inclusion économique et financière visés (accès aux services de base, résilience, développement d’une activité économique…)</w:t>
      </w:r>
      <w:r w:rsidR="000537A6">
        <w:rPr>
          <w:rFonts w:ascii="Calibri" w:eastAsia="Times New Roman" w:hAnsi="Calibri" w:cs="Calibri"/>
          <w:lang w:eastAsia="fr-FR"/>
        </w:rPr>
        <w:t>.</w:t>
      </w:r>
      <w:r w:rsidR="008F6CD1" w:rsidRPr="000545FF">
        <w:rPr>
          <w:rFonts w:ascii="Calibri" w:eastAsia="Times New Roman" w:hAnsi="Calibri" w:cs="Calibri"/>
          <w:lang w:eastAsia="fr-FR"/>
        </w:rPr>
        <w:t xml:space="preserve"> </w:t>
      </w:r>
      <w:r w:rsidR="000537A6">
        <w:rPr>
          <w:rFonts w:ascii="Calibri" w:eastAsia="Times New Roman" w:hAnsi="Calibri" w:cs="Calibri"/>
          <w:lang w:eastAsia="fr-FR"/>
        </w:rPr>
        <w:t>De leur côté, l</w:t>
      </w:r>
      <w:r w:rsidR="000537A6" w:rsidRPr="000545FF">
        <w:rPr>
          <w:rFonts w:ascii="Calibri" w:eastAsia="Times New Roman" w:hAnsi="Calibri" w:cs="Calibri"/>
          <w:lang w:eastAsia="fr-FR"/>
        </w:rPr>
        <w:t>es migrant</w:t>
      </w:r>
      <w:r w:rsidR="00483364">
        <w:rPr>
          <w:rFonts w:ascii="Calibri" w:eastAsia="Times New Roman" w:hAnsi="Calibri" w:cs="Calibri"/>
          <w:lang w:eastAsia="fr-FR"/>
        </w:rPr>
        <w:t>-e-</w:t>
      </w:r>
      <w:r w:rsidR="000537A6" w:rsidRPr="000545FF">
        <w:rPr>
          <w:rFonts w:ascii="Calibri" w:eastAsia="Times New Roman" w:hAnsi="Calibri" w:cs="Calibri"/>
          <w:lang w:eastAsia="fr-FR"/>
        </w:rPr>
        <w:t>s peuvent manquer de connaissances relatives au fonctionnement et à l’accès aux services financiers du territoire d’accueil. Des barrières linguistiques peuvent entraver d’autant plus l’accès à l’information et à la compréhension de l’offre financière.</w:t>
      </w:r>
      <w:r w:rsidR="000537A6">
        <w:rPr>
          <w:rFonts w:ascii="Calibri" w:eastAsia="Times New Roman" w:hAnsi="Calibri" w:cs="Calibri"/>
          <w:lang w:eastAsia="fr-FR"/>
        </w:rPr>
        <w:t xml:space="preserve"> </w:t>
      </w:r>
      <w:r w:rsidR="00220266">
        <w:rPr>
          <w:lang w:eastAsia="fr-FR"/>
        </w:rPr>
        <w:t xml:space="preserve">Ils </w:t>
      </w:r>
      <w:r w:rsidR="000079F1">
        <w:rPr>
          <w:lang w:eastAsia="fr-FR"/>
        </w:rPr>
        <w:t xml:space="preserve">et elles </w:t>
      </w:r>
      <w:r w:rsidR="00220266">
        <w:rPr>
          <w:lang w:eastAsia="fr-FR"/>
        </w:rPr>
        <w:t>peuvent également avoir des difficultés à communiquer et faire valoir leurs antécédents financiers.</w:t>
      </w:r>
      <w:r w:rsidR="00C62BC4">
        <w:rPr>
          <w:lang w:eastAsia="fr-FR"/>
        </w:rPr>
        <w:t xml:space="preserve"> Les femmes peuvent se heurter à des obstacles </w:t>
      </w:r>
      <w:r w:rsidR="00D936D4">
        <w:rPr>
          <w:lang w:eastAsia="fr-FR"/>
        </w:rPr>
        <w:t xml:space="preserve">et des difficultés </w:t>
      </w:r>
      <w:r w:rsidR="00C62BC4">
        <w:rPr>
          <w:lang w:eastAsia="fr-FR"/>
        </w:rPr>
        <w:t xml:space="preserve">spécifiques </w:t>
      </w:r>
      <w:r w:rsidR="00D936D4">
        <w:rPr>
          <w:lang w:eastAsia="fr-FR"/>
        </w:rPr>
        <w:t>qui s’ajoutent</w:t>
      </w:r>
      <w:r w:rsidR="00C62BC4">
        <w:rPr>
          <w:lang w:eastAsia="fr-FR"/>
        </w:rPr>
        <w:t xml:space="preserve"> aux obstacles communs aux femmes et aux hommes (faible taux d’alphabétisation, préjugés, etc.).</w:t>
      </w:r>
    </w:p>
    <w:p w14:paraId="069CE3B4" w14:textId="77777777" w:rsidR="00B03D59" w:rsidRPr="009C2089" w:rsidRDefault="00B03D59" w:rsidP="00B03D59">
      <w:pPr>
        <w:spacing w:after="0" w:line="240" w:lineRule="auto"/>
        <w:ind w:left="360"/>
        <w:jc w:val="both"/>
        <w:rPr>
          <w:rFonts w:ascii="Calibri" w:eastAsia="Times New Roman" w:hAnsi="Calibri" w:cs="Calibri"/>
          <w:lang w:eastAsia="fr-FR"/>
        </w:rPr>
      </w:pPr>
    </w:p>
    <w:p w14:paraId="224B584E" w14:textId="54733AD7" w:rsidR="008E7950" w:rsidRPr="000545FF" w:rsidRDefault="00565A83">
      <w:pPr>
        <w:spacing w:after="0" w:line="240" w:lineRule="auto"/>
        <w:jc w:val="both"/>
        <w:rPr>
          <w:lang w:eastAsia="fr-FR"/>
        </w:rPr>
      </w:pPr>
      <w:r w:rsidRPr="009C2089">
        <w:rPr>
          <w:rFonts w:ascii="Calibri" w:eastAsia="Times New Roman" w:hAnsi="Calibri" w:cs="Calibri"/>
          <w:b/>
          <w:lang w:eastAsia="fr-FR"/>
        </w:rPr>
        <w:lastRenderedPageBreak/>
        <w:t xml:space="preserve">Au regard de l’évolution du nombre de migrants internationaux </w:t>
      </w:r>
      <w:r w:rsidR="000079F1">
        <w:rPr>
          <w:rFonts w:ascii="Calibri" w:eastAsia="Times New Roman" w:hAnsi="Calibri" w:cs="Calibri"/>
          <w:b/>
          <w:lang w:eastAsia="fr-FR"/>
        </w:rPr>
        <w:t xml:space="preserve">et de migrantes internationales </w:t>
      </w:r>
      <w:r w:rsidRPr="009C2089">
        <w:rPr>
          <w:rFonts w:ascii="Calibri" w:eastAsia="Times New Roman" w:hAnsi="Calibri" w:cs="Calibri"/>
          <w:b/>
          <w:lang w:eastAsia="fr-FR"/>
        </w:rPr>
        <w:t>(tous statuts confondus) et des parcours migratoires, l’enjeu de leur inclusion financière</w:t>
      </w:r>
      <w:r w:rsidR="008E7950" w:rsidRPr="000545FF">
        <w:rPr>
          <w:rFonts w:ascii="Calibri" w:eastAsia="Times New Roman" w:hAnsi="Calibri" w:cs="Calibri"/>
          <w:lang w:eastAsia="fr-FR"/>
        </w:rPr>
        <w:t xml:space="preserve">, et de façon plus générale, leur intégration socio-économique au territoire d’accueil, est </w:t>
      </w:r>
      <w:r w:rsidR="008E7950" w:rsidRPr="00141887">
        <w:rPr>
          <w:rFonts w:ascii="Calibri" w:eastAsia="Times New Roman" w:hAnsi="Calibri" w:cs="Calibri"/>
          <w:b/>
          <w:lang w:eastAsia="fr-FR"/>
        </w:rPr>
        <w:t>de plus en plus important</w:t>
      </w:r>
      <w:r w:rsidR="009C2089" w:rsidRPr="000545FF">
        <w:rPr>
          <w:rFonts w:ascii="Calibri" w:eastAsia="Times New Roman" w:hAnsi="Calibri" w:cs="Calibri"/>
          <w:lang w:eastAsia="fr-FR"/>
        </w:rPr>
        <w:t xml:space="preserve"> pour les pays en développement</w:t>
      </w:r>
      <w:r w:rsidRPr="000545FF">
        <w:rPr>
          <w:rFonts w:ascii="Calibri" w:eastAsia="Times New Roman" w:hAnsi="Calibri" w:cs="Calibri"/>
          <w:lang w:eastAsia="fr-FR"/>
        </w:rPr>
        <w:t xml:space="preserve">. </w:t>
      </w:r>
      <w:r w:rsidR="009C2089" w:rsidRPr="000545FF">
        <w:rPr>
          <w:rFonts w:ascii="Calibri" w:eastAsia="Times New Roman" w:hAnsi="Calibri" w:cs="Calibri"/>
          <w:lang w:eastAsia="fr-FR"/>
        </w:rPr>
        <w:t>D’une part</w:t>
      </w:r>
      <w:r w:rsidRPr="000545FF">
        <w:rPr>
          <w:rFonts w:ascii="Calibri" w:eastAsia="Times New Roman" w:hAnsi="Calibri" w:cs="Calibri"/>
          <w:lang w:eastAsia="fr-FR"/>
        </w:rPr>
        <w:t>,</w:t>
      </w:r>
      <w:r w:rsidR="008E7950" w:rsidRPr="000545FF">
        <w:rPr>
          <w:rFonts w:ascii="Calibri" w:eastAsia="Times New Roman" w:hAnsi="Calibri" w:cs="Calibri"/>
          <w:lang w:eastAsia="fr-FR"/>
        </w:rPr>
        <w:t xml:space="preserve"> le nombre de déplacé</w:t>
      </w:r>
      <w:r w:rsidR="000079F1">
        <w:rPr>
          <w:rFonts w:ascii="Calibri" w:eastAsia="Times New Roman" w:hAnsi="Calibri" w:cs="Calibri"/>
          <w:lang w:eastAsia="fr-FR"/>
        </w:rPr>
        <w:t>-e-</w:t>
      </w:r>
      <w:r w:rsidR="008E7950" w:rsidRPr="000545FF">
        <w:rPr>
          <w:rFonts w:ascii="Calibri" w:eastAsia="Times New Roman" w:hAnsi="Calibri" w:cs="Calibri"/>
          <w:lang w:eastAsia="fr-FR"/>
        </w:rPr>
        <w:t>s et réfugié</w:t>
      </w:r>
      <w:r w:rsidR="000079F1">
        <w:rPr>
          <w:rFonts w:ascii="Calibri" w:eastAsia="Times New Roman" w:hAnsi="Calibri" w:cs="Calibri"/>
          <w:lang w:eastAsia="fr-FR"/>
        </w:rPr>
        <w:t>-e-</w:t>
      </w:r>
      <w:r w:rsidR="008E7950" w:rsidRPr="000545FF">
        <w:rPr>
          <w:rFonts w:ascii="Calibri" w:eastAsia="Times New Roman" w:hAnsi="Calibri" w:cs="Calibri"/>
          <w:lang w:eastAsia="fr-FR"/>
        </w:rPr>
        <w:t xml:space="preserve">s </w:t>
      </w:r>
      <w:r w:rsidRPr="000545FF">
        <w:rPr>
          <w:rFonts w:ascii="Calibri" w:eastAsia="Times New Roman" w:hAnsi="Calibri" w:cs="Calibri"/>
          <w:lang w:eastAsia="fr-FR"/>
        </w:rPr>
        <w:t>comme de migrant</w:t>
      </w:r>
      <w:r w:rsidR="000079F1">
        <w:rPr>
          <w:rFonts w:ascii="Calibri" w:eastAsia="Times New Roman" w:hAnsi="Calibri" w:cs="Calibri"/>
          <w:lang w:eastAsia="fr-FR"/>
        </w:rPr>
        <w:t>-e-</w:t>
      </w:r>
      <w:r w:rsidRPr="000545FF">
        <w:rPr>
          <w:rFonts w:ascii="Calibri" w:eastAsia="Times New Roman" w:hAnsi="Calibri" w:cs="Calibri"/>
          <w:lang w:eastAsia="fr-FR"/>
        </w:rPr>
        <w:t>s économiques ne cesse de croître tandis</w:t>
      </w:r>
      <w:r w:rsidR="008E7950" w:rsidRPr="000545FF">
        <w:rPr>
          <w:rFonts w:ascii="Calibri" w:eastAsia="Times New Roman" w:hAnsi="Calibri" w:cs="Calibri"/>
          <w:lang w:eastAsia="fr-FR"/>
        </w:rPr>
        <w:t xml:space="preserve"> que, dans le même temps, leur durée de séjour au sein des communautés hôtes s’allonge. </w:t>
      </w:r>
      <w:r w:rsidR="009C2089" w:rsidRPr="000545FF">
        <w:rPr>
          <w:rFonts w:ascii="Calibri" w:eastAsia="Times New Roman" w:hAnsi="Calibri" w:cs="Calibri"/>
          <w:lang w:eastAsia="fr-FR"/>
        </w:rPr>
        <w:t xml:space="preserve">D’autre part, la grande majorité des migrants internationaux </w:t>
      </w:r>
      <w:r w:rsidR="000079F1">
        <w:rPr>
          <w:rFonts w:ascii="Calibri" w:eastAsia="Times New Roman" w:hAnsi="Calibri" w:cs="Calibri"/>
          <w:lang w:eastAsia="fr-FR"/>
        </w:rPr>
        <w:t xml:space="preserve">et migrantes internationales </w:t>
      </w:r>
      <w:r w:rsidR="009C2089" w:rsidRPr="000545FF">
        <w:rPr>
          <w:rFonts w:ascii="Calibri" w:eastAsia="Times New Roman" w:hAnsi="Calibri" w:cs="Calibri"/>
          <w:lang w:eastAsia="fr-FR"/>
        </w:rPr>
        <w:t xml:space="preserve">se déplace au sein d’une même région. A titre d’exemple, 89% des migrants internationaux </w:t>
      </w:r>
      <w:r w:rsidR="000079F1">
        <w:rPr>
          <w:rFonts w:ascii="Calibri" w:eastAsia="Times New Roman" w:hAnsi="Calibri" w:cs="Calibri"/>
          <w:lang w:eastAsia="fr-FR"/>
        </w:rPr>
        <w:t xml:space="preserve">et migrantes internationales </w:t>
      </w:r>
      <w:r w:rsidR="009C2089" w:rsidRPr="000545FF">
        <w:rPr>
          <w:rFonts w:ascii="Calibri" w:eastAsia="Times New Roman" w:hAnsi="Calibri" w:cs="Calibri"/>
          <w:lang w:eastAsia="fr-FR"/>
        </w:rPr>
        <w:t>en Afrique subsaharienne sont originaires de la région où ils résident. Ce chiffre est de 83% pour l’Asie de l’Est et du Sud-Est et de 73% en Amérique Latine et Caraïbes</w:t>
      </w:r>
      <w:r w:rsidR="009C2089" w:rsidRPr="000545FF">
        <w:rPr>
          <w:rStyle w:val="Appelnotedebasdep"/>
          <w:rFonts w:ascii="Calibri" w:eastAsia="Times New Roman" w:hAnsi="Calibri" w:cs="Calibri"/>
          <w:lang w:eastAsia="fr-FR"/>
        </w:rPr>
        <w:footnoteReference w:id="6"/>
      </w:r>
      <w:r w:rsidR="009C2089" w:rsidRPr="000545FF">
        <w:rPr>
          <w:rFonts w:ascii="Calibri" w:eastAsia="Times New Roman" w:hAnsi="Calibri" w:cs="Calibri"/>
          <w:lang w:eastAsia="fr-FR"/>
        </w:rPr>
        <w:t xml:space="preserve">. </w:t>
      </w:r>
    </w:p>
    <w:p w14:paraId="2E586BE8" w14:textId="6E98893D" w:rsidR="00C81657" w:rsidRDefault="00C81657" w:rsidP="004C22F2">
      <w:pPr>
        <w:spacing w:after="0"/>
        <w:jc w:val="both"/>
        <w:rPr>
          <w:color w:val="FF0000"/>
          <w:lang w:eastAsia="fr-FR"/>
        </w:rPr>
      </w:pPr>
    </w:p>
    <w:p w14:paraId="34100ED6" w14:textId="3F0F97D5" w:rsidR="001273AB" w:rsidRPr="00D852BE" w:rsidRDefault="008B1A0D" w:rsidP="000545FF">
      <w:pPr>
        <w:pStyle w:val="Titre2"/>
        <w:rPr>
          <w:rFonts w:eastAsia="Times New Roman"/>
          <w:lang w:eastAsia="fr-FR"/>
        </w:rPr>
      </w:pPr>
      <w:bookmarkStart w:id="5" w:name="_Toc55391558"/>
      <w:r>
        <w:rPr>
          <w:rFonts w:eastAsia="Times New Roman"/>
          <w:lang w:eastAsia="fr-FR"/>
        </w:rPr>
        <w:t>2.</w:t>
      </w:r>
      <w:r w:rsidR="004F5C02">
        <w:rPr>
          <w:rFonts w:eastAsia="Times New Roman"/>
          <w:lang w:eastAsia="fr-FR"/>
        </w:rPr>
        <w:t>3</w:t>
      </w:r>
      <w:r>
        <w:rPr>
          <w:rFonts w:eastAsia="Times New Roman"/>
          <w:lang w:eastAsia="fr-FR"/>
        </w:rPr>
        <w:t>.</w:t>
      </w:r>
      <w:r w:rsidR="001273AB">
        <w:rPr>
          <w:rFonts w:eastAsia="Times New Roman"/>
          <w:lang w:eastAsia="fr-FR"/>
        </w:rPr>
        <w:t xml:space="preserve"> </w:t>
      </w:r>
      <w:r w:rsidR="009037F8">
        <w:rPr>
          <w:rFonts w:eastAsia="Times New Roman"/>
          <w:lang w:eastAsia="fr-FR"/>
        </w:rPr>
        <w:t xml:space="preserve">Etat de l’art : </w:t>
      </w:r>
      <w:r w:rsidR="00C921F3">
        <w:rPr>
          <w:rFonts w:eastAsia="Times New Roman"/>
          <w:lang w:eastAsia="fr-FR"/>
        </w:rPr>
        <w:t>d</w:t>
      </w:r>
      <w:r w:rsidR="004F5C02">
        <w:rPr>
          <w:rFonts w:eastAsia="Times New Roman"/>
          <w:lang w:eastAsia="fr-FR"/>
        </w:rPr>
        <w:t xml:space="preserve">ifférentes approches </w:t>
      </w:r>
      <w:r w:rsidR="009037F8">
        <w:rPr>
          <w:rFonts w:eastAsia="Times New Roman"/>
          <w:lang w:eastAsia="fr-FR"/>
        </w:rPr>
        <w:t>pour</w:t>
      </w:r>
      <w:r w:rsidR="004F5C02">
        <w:rPr>
          <w:rFonts w:eastAsia="Times New Roman"/>
          <w:lang w:eastAsia="fr-FR"/>
        </w:rPr>
        <w:t xml:space="preserve"> promouvoir</w:t>
      </w:r>
      <w:r w:rsidR="0098657C">
        <w:rPr>
          <w:rFonts w:eastAsia="Times New Roman"/>
          <w:lang w:eastAsia="fr-FR"/>
        </w:rPr>
        <w:t xml:space="preserve"> l’inclusion financière des </w:t>
      </w:r>
      <w:r w:rsidR="00DB5084">
        <w:rPr>
          <w:rFonts w:eastAsia="Times New Roman"/>
          <w:lang w:eastAsia="fr-FR"/>
        </w:rPr>
        <w:t>migrant</w:t>
      </w:r>
      <w:r w:rsidR="00BE748D">
        <w:rPr>
          <w:rFonts w:eastAsia="Times New Roman"/>
          <w:lang w:eastAsia="fr-FR"/>
        </w:rPr>
        <w:t>-e-</w:t>
      </w:r>
      <w:r w:rsidR="00DB5084">
        <w:rPr>
          <w:rFonts w:eastAsia="Times New Roman"/>
          <w:lang w:eastAsia="fr-FR"/>
        </w:rPr>
        <w:t>s</w:t>
      </w:r>
      <w:bookmarkEnd w:id="5"/>
    </w:p>
    <w:p w14:paraId="6715E6D4" w14:textId="62A3EC5B" w:rsidR="001273AB" w:rsidRDefault="001273AB" w:rsidP="00DE2692">
      <w:pPr>
        <w:spacing w:after="0" w:line="240" w:lineRule="auto"/>
        <w:jc w:val="both"/>
        <w:rPr>
          <w:rFonts w:ascii="Calibri" w:eastAsia="Times New Roman" w:hAnsi="Calibri" w:cs="Calibri"/>
          <w:lang w:eastAsia="fr-FR"/>
        </w:rPr>
      </w:pPr>
    </w:p>
    <w:p w14:paraId="60E6D699" w14:textId="77777777" w:rsidR="001273AB" w:rsidRPr="00D852BE" w:rsidRDefault="001273AB" w:rsidP="000545FF">
      <w:pPr>
        <w:spacing w:after="0" w:line="240" w:lineRule="auto"/>
        <w:jc w:val="both"/>
        <w:rPr>
          <w:rFonts w:ascii="Calibri" w:eastAsia="Times New Roman" w:hAnsi="Calibri" w:cs="Calibri"/>
          <w:lang w:eastAsia="fr-FR"/>
        </w:rPr>
      </w:pPr>
    </w:p>
    <w:p w14:paraId="12C39682" w14:textId="4DEF6A79" w:rsidR="001273AB" w:rsidRPr="00374099" w:rsidRDefault="008B4973" w:rsidP="00A10A07">
      <w:pPr>
        <w:pStyle w:val="Titre3"/>
        <w:ind w:firstLine="360"/>
        <w:rPr>
          <w:rFonts w:eastAsia="Times New Roman"/>
          <w:lang w:eastAsia="fr-FR"/>
        </w:rPr>
      </w:pPr>
      <w:bookmarkStart w:id="6" w:name="_Toc55391559"/>
      <w:r>
        <w:rPr>
          <w:rFonts w:eastAsia="Times New Roman"/>
          <w:lang w:eastAsia="fr-FR"/>
        </w:rPr>
        <w:t>2</w:t>
      </w:r>
      <w:r w:rsidR="001273AB" w:rsidRPr="00374099">
        <w:rPr>
          <w:rFonts w:eastAsia="Times New Roman"/>
          <w:lang w:eastAsia="fr-FR"/>
        </w:rPr>
        <w:t>.</w:t>
      </w:r>
      <w:r w:rsidR="004F5C02">
        <w:rPr>
          <w:rFonts w:eastAsia="Times New Roman"/>
          <w:lang w:eastAsia="fr-FR"/>
        </w:rPr>
        <w:t>3</w:t>
      </w:r>
      <w:r>
        <w:rPr>
          <w:rFonts w:eastAsia="Times New Roman"/>
          <w:lang w:eastAsia="fr-FR"/>
        </w:rPr>
        <w:t>.1</w:t>
      </w:r>
      <w:r w:rsidR="001273AB" w:rsidRPr="00374099">
        <w:rPr>
          <w:rFonts w:eastAsia="Times New Roman"/>
          <w:lang w:eastAsia="fr-FR"/>
        </w:rPr>
        <w:t xml:space="preserve"> </w:t>
      </w:r>
      <w:r w:rsidR="004F5C02">
        <w:rPr>
          <w:rFonts w:eastAsia="Times New Roman"/>
          <w:lang w:eastAsia="fr-FR"/>
        </w:rPr>
        <w:t>Le r</w:t>
      </w:r>
      <w:r w:rsidR="000667F8">
        <w:rPr>
          <w:rFonts w:eastAsia="Times New Roman"/>
          <w:lang w:eastAsia="fr-FR"/>
        </w:rPr>
        <w:t>ôle des ONG et</w:t>
      </w:r>
      <w:r w:rsidR="004F5C02">
        <w:rPr>
          <w:rFonts w:eastAsia="Times New Roman"/>
          <w:lang w:eastAsia="fr-FR"/>
        </w:rPr>
        <w:t xml:space="preserve"> des</w:t>
      </w:r>
      <w:r w:rsidR="000667F8">
        <w:rPr>
          <w:rFonts w:eastAsia="Times New Roman"/>
          <w:lang w:eastAsia="fr-FR"/>
        </w:rPr>
        <w:t xml:space="preserve"> approches partenariales</w:t>
      </w:r>
      <w:bookmarkEnd w:id="6"/>
      <w:r w:rsidR="00424780">
        <w:rPr>
          <w:rFonts w:eastAsia="Times New Roman"/>
          <w:lang w:eastAsia="fr-FR"/>
        </w:rPr>
        <w:t xml:space="preserve"> </w:t>
      </w:r>
    </w:p>
    <w:p w14:paraId="444213CC" w14:textId="1CED212E" w:rsidR="001A5A85" w:rsidRDefault="001A5A85" w:rsidP="00101646">
      <w:pPr>
        <w:spacing w:after="0" w:line="240" w:lineRule="auto"/>
        <w:jc w:val="both"/>
        <w:rPr>
          <w:rFonts w:ascii="Calibri" w:eastAsia="Times New Roman" w:hAnsi="Calibri" w:cs="Calibri"/>
          <w:lang w:eastAsia="fr-FR"/>
        </w:rPr>
      </w:pPr>
    </w:p>
    <w:p w14:paraId="3E0E3B3D" w14:textId="70CC57CE" w:rsidR="006A2F24" w:rsidRDefault="001A5A85" w:rsidP="00101646">
      <w:pPr>
        <w:spacing w:after="0" w:line="240" w:lineRule="auto"/>
        <w:jc w:val="both"/>
      </w:pPr>
      <w:r w:rsidRPr="009037F8">
        <w:rPr>
          <w:rFonts w:ascii="Calibri" w:eastAsia="Times New Roman" w:hAnsi="Calibri" w:cs="Calibri"/>
          <w:lang w:eastAsia="fr-FR"/>
        </w:rPr>
        <w:t xml:space="preserve">Les ONG </w:t>
      </w:r>
      <w:r w:rsidR="000667F8">
        <w:rPr>
          <w:rFonts w:ascii="Calibri" w:eastAsia="Times New Roman" w:hAnsi="Calibri" w:cs="Calibri"/>
          <w:lang w:eastAsia="fr-FR"/>
        </w:rPr>
        <w:t>(humanitaires, de développement ou spécialisées droits</w:t>
      </w:r>
      <w:r w:rsidR="00043689">
        <w:rPr>
          <w:rFonts w:ascii="Calibri" w:eastAsia="Times New Roman" w:hAnsi="Calibri" w:cs="Calibri"/>
          <w:lang w:eastAsia="fr-FR"/>
        </w:rPr>
        <w:t xml:space="preserve"> </w:t>
      </w:r>
      <w:r w:rsidR="00BE748D">
        <w:rPr>
          <w:rFonts w:ascii="Calibri" w:eastAsia="Times New Roman" w:hAnsi="Calibri" w:cs="Calibri"/>
          <w:lang w:eastAsia="fr-FR"/>
        </w:rPr>
        <w:t>humains</w:t>
      </w:r>
      <w:r w:rsidR="000667F8">
        <w:rPr>
          <w:rFonts w:ascii="Calibri" w:eastAsia="Times New Roman" w:hAnsi="Calibri" w:cs="Calibri"/>
          <w:lang w:eastAsia="fr-FR"/>
        </w:rPr>
        <w:t xml:space="preserve">) </w:t>
      </w:r>
      <w:r w:rsidR="006A2F24">
        <w:rPr>
          <w:rFonts w:ascii="Calibri" w:eastAsia="Times New Roman" w:hAnsi="Calibri" w:cs="Calibri"/>
          <w:lang w:eastAsia="fr-FR"/>
        </w:rPr>
        <w:t xml:space="preserve">locales comme internationales </w:t>
      </w:r>
      <w:r w:rsidR="00AC30BE">
        <w:rPr>
          <w:rFonts w:ascii="Calibri" w:eastAsia="Times New Roman" w:hAnsi="Calibri" w:cs="Calibri"/>
          <w:lang w:eastAsia="fr-FR"/>
        </w:rPr>
        <w:t>dispose</w:t>
      </w:r>
      <w:r w:rsidR="000667F8">
        <w:rPr>
          <w:rFonts w:ascii="Calibri" w:eastAsia="Times New Roman" w:hAnsi="Calibri" w:cs="Calibri"/>
          <w:lang w:eastAsia="fr-FR"/>
        </w:rPr>
        <w:t>nt</w:t>
      </w:r>
      <w:r w:rsidR="00AC30BE">
        <w:rPr>
          <w:rFonts w:ascii="Calibri" w:eastAsia="Times New Roman" w:hAnsi="Calibri" w:cs="Calibri"/>
          <w:lang w:eastAsia="fr-FR"/>
        </w:rPr>
        <w:t xml:space="preserve"> d’une expertise spécifique à ce segment de population</w:t>
      </w:r>
      <w:r w:rsidR="0016109A">
        <w:rPr>
          <w:rFonts w:ascii="Calibri" w:eastAsia="Times New Roman" w:hAnsi="Calibri" w:cs="Calibri"/>
          <w:lang w:eastAsia="fr-FR"/>
        </w:rPr>
        <w:t xml:space="preserve"> souvent</w:t>
      </w:r>
      <w:r w:rsidR="00AC30BE">
        <w:rPr>
          <w:rFonts w:ascii="Calibri" w:eastAsia="Times New Roman" w:hAnsi="Calibri" w:cs="Calibri"/>
          <w:lang w:eastAsia="fr-FR"/>
        </w:rPr>
        <w:t xml:space="preserve"> délaissé par les </w:t>
      </w:r>
      <w:r w:rsidR="009037F8">
        <w:rPr>
          <w:rFonts w:ascii="Calibri" w:eastAsia="Times New Roman" w:hAnsi="Calibri" w:cs="Calibri"/>
          <w:lang w:eastAsia="fr-FR"/>
        </w:rPr>
        <w:t>institutions financières</w:t>
      </w:r>
      <w:r w:rsidR="00AC30BE">
        <w:rPr>
          <w:rFonts w:ascii="Calibri" w:eastAsia="Times New Roman" w:hAnsi="Calibri" w:cs="Calibri"/>
          <w:lang w:eastAsia="fr-FR"/>
        </w:rPr>
        <w:t xml:space="preserve"> privées et d’une expérience de travail dans des contextes fragiles. </w:t>
      </w:r>
      <w:r w:rsidR="0016109A">
        <w:rPr>
          <w:rFonts w:ascii="Calibri" w:eastAsia="Times New Roman" w:hAnsi="Calibri" w:cs="Calibri"/>
          <w:lang w:eastAsia="fr-FR"/>
        </w:rPr>
        <w:t>L</w:t>
      </w:r>
      <w:r w:rsidR="000667F8">
        <w:rPr>
          <w:rFonts w:ascii="Calibri" w:eastAsia="Times New Roman" w:hAnsi="Calibri" w:cs="Calibri"/>
          <w:lang w:eastAsia="fr-FR"/>
        </w:rPr>
        <w:t xml:space="preserve">es initiatives </w:t>
      </w:r>
      <w:r w:rsidR="0016109A">
        <w:rPr>
          <w:rFonts w:ascii="Calibri" w:eastAsia="Times New Roman" w:hAnsi="Calibri" w:cs="Calibri"/>
          <w:lang w:eastAsia="fr-FR"/>
        </w:rPr>
        <w:t xml:space="preserve">innovantes </w:t>
      </w:r>
      <w:r w:rsidR="000667F8">
        <w:rPr>
          <w:rFonts w:ascii="Calibri" w:eastAsia="Times New Roman" w:hAnsi="Calibri" w:cs="Calibri"/>
          <w:lang w:eastAsia="fr-FR"/>
        </w:rPr>
        <w:t xml:space="preserve">visant l’inclusion financière de ce segment de population impliquent </w:t>
      </w:r>
      <w:r w:rsidR="00A6527B">
        <w:rPr>
          <w:rFonts w:ascii="Calibri" w:eastAsia="Times New Roman" w:hAnsi="Calibri" w:cs="Calibri"/>
          <w:lang w:eastAsia="fr-FR"/>
        </w:rPr>
        <w:t xml:space="preserve">la plupart du temps </w:t>
      </w:r>
      <w:r w:rsidR="000667F8">
        <w:rPr>
          <w:rFonts w:ascii="Calibri" w:eastAsia="Times New Roman" w:hAnsi="Calibri" w:cs="Calibri"/>
          <w:lang w:eastAsia="fr-FR"/>
        </w:rPr>
        <w:t>un/des partenariat(s) avec d’autres</w:t>
      </w:r>
      <w:r w:rsidR="00D64E1B">
        <w:t xml:space="preserve"> acteurs </w:t>
      </w:r>
      <w:r w:rsidR="000667F8">
        <w:t xml:space="preserve">aux rôles </w:t>
      </w:r>
      <w:r w:rsidR="00D64E1B">
        <w:t>complémentaires</w:t>
      </w:r>
      <w:r w:rsidR="00711B04" w:rsidRPr="008B6AE9">
        <w:t>.</w:t>
      </w:r>
      <w:r w:rsidR="000C0594" w:rsidRPr="008B6AE9">
        <w:t xml:space="preserve"> </w:t>
      </w:r>
    </w:p>
    <w:p w14:paraId="2C71D9B8" w14:textId="52DE2397" w:rsidR="006A2F24" w:rsidRDefault="006A2F24" w:rsidP="00101646">
      <w:pPr>
        <w:spacing w:after="0" w:line="240" w:lineRule="auto"/>
        <w:jc w:val="both"/>
      </w:pPr>
    </w:p>
    <w:p w14:paraId="7A149954" w14:textId="51B84F7B" w:rsidR="00D64E1B" w:rsidRPr="000545FF" w:rsidRDefault="00711B04" w:rsidP="00101646">
      <w:pPr>
        <w:spacing w:after="0" w:line="240" w:lineRule="auto"/>
        <w:jc w:val="both"/>
      </w:pPr>
      <w:r w:rsidRPr="008B6AE9">
        <w:t>Entre autres parties-prenantes</w:t>
      </w:r>
      <w:r w:rsidR="003508D6">
        <w:t xml:space="preserve"> impliquées par</w:t>
      </w:r>
      <w:r w:rsidRPr="008B6AE9">
        <w:t xml:space="preserve"> les </w:t>
      </w:r>
      <w:r w:rsidR="003508D6">
        <w:t>OSC</w:t>
      </w:r>
      <w:r w:rsidR="003508D6" w:rsidRPr="008B6AE9">
        <w:t xml:space="preserve"> </w:t>
      </w:r>
      <w:r w:rsidRPr="008B6AE9">
        <w:t xml:space="preserve">porteuses de projet, on </w:t>
      </w:r>
      <w:r w:rsidR="00043689">
        <w:t>peut</w:t>
      </w:r>
      <w:r w:rsidR="00043689" w:rsidRPr="008B6AE9">
        <w:t xml:space="preserve"> </w:t>
      </w:r>
      <w:r w:rsidRPr="008B6AE9">
        <w:t>par exemple</w:t>
      </w:r>
      <w:r>
        <w:t xml:space="preserve"> citer</w:t>
      </w:r>
      <w:r w:rsidR="00F2072C">
        <w:rPr>
          <w:rFonts w:ascii="Calibri" w:eastAsia="Times New Roman" w:hAnsi="Calibri" w:cs="Calibri"/>
          <w:lang w:eastAsia="fr-FR"/>
        </w:rPr>
        <w:t> :</w:t>
      </w:r>
      <w:r w:rsidR="00D64E1B">
        <w:rPr>
          <w:rFonts w:ascii="Calibri" w:eastAsia="Times New Roman" w:hAnsi="Calibri" w:cs="Calibri"/>
          <w:lang w:eastAsia="fr-FR"/>
        </w:rPr>
        <w:t xml:space="preserve"> </w:t>
      </w:r>
    </w:p>
    <w:p w14:paraId="54ABBAE5" w14:textId="7C8C27F2" w:rsidR="00D64E1B" w:rsidRDefault="003508D6" w:rsidP="000545FF">
      <w:pPr>
        <w:pStyle w:val="Paragraphedeliste"/>
        <w:numPr>
          <w:ilvl w:val="0"/>
          <w:numId w:val="52"/>
        </w:numPr>
        <w:spacing w:after="0" w:line="240" w:lineRule="auto"/>
        <w:jc w:val="both"/>
      </w:pPr>
      <w:r>
        <w:rPr>
          <w:rFonts w:ascii="Calibri" w:eastAsia="Times New Roman" w:hAnsi="Calibri" w:cs="Calibri"/>
          <w:lang w:eastAsia="fr-FR"/>
        </w:rPr>
        <w:t>D’autres</w:t>
      </w:r>
      <w:r w:rsidR="00AC30BE" w:rsidRPr="00D64E1B">
        <w:rPr>
          <w:rFonts w:ascii="Calibri" w:eastAsia="Times New Roman" w:hAnsi="Calibri" w:cs="Calibri"/>
          <w:lang w:eastAsia="fr-FR"/>
        </w:rPr>
        <w:t xml:space="preserve"> </w:t>
      </w:r>
      <w:r>
        <w:rPr>
          <w:rFonts w:ascii="Calibri" w:eastAsia="Times New Roman" w:hAnsi="Calibri" w:cs="Calibri"/>
          <w:lang w:eastAsia="fr-FR"/>
        </w:rPr>
        <w:t>OSC</w:t>
      </w:r>
      <w:r w:rsidRPr="000545FF">
        <w:t xml:space="preserve"> </w:t>
      </w:r>
      <w:r w:rsidR="00AC30BE" w:rsidRPr="000545FF">
        <w:t>locales</w:t>
      </w:r>
      <w:r w:rsidR="00DB0759">
        <w:t xml:space="preserve"> (qui peuvent être porteuse</w:t>
      </w:r>
      <w:r w:rsidR="00043689">
        <w:t>s</w:t>
      </w:r>
      <w:r w:rsidR="00DB0759">
        <w:t xml:space="preserve"> du projet)</w:t>
      </w:r>
      <w:r w:rsidR="00A47E47">
        <w:t>, les associations professionnelles, les instituts de formation</w:t>
      </w:r>
      <w:r w:rsidR="00AC30BE">
        <w:t xml:space="preserve"> </w:t>
      </w:r>
      <w:r w:rsidR="00A47E47">
        <w:t>bien implanté</w:t>
      </w:r>
      <w:r w:rsidR="00711B04">
        <w:t>s et familières avec</w:t>
      </w:r>
      <w:r w:rsidR="00AC30BE">
        <w:t xml:space="preserve"> le tissu socio-économique du territoire</w:t>
      </w:r>
      <w:r w:rsidR="00D64E1B">
        <w:t> ;</w:t>
      </w:r>
    </w:p>
    <w:p w14:paraId="4DFFB23F" w14:textId="26CE08A3" w:rsidR="000C0594" w:rsidRDefault="000C0594" w:rsidP="000545FF">
      <w:pPr>
        <w:pStyle w:val="Paragraphedeliste"/>
        <w:numPr>
          <w:ilvl w:val="0"/>
          <w:numId w:val="52"/>
        </w:numPr>
        <w:spacing w:after="0" w:line="240" w:lineRule="auto"/>
        <w:jc w:val="both"/>
      </w:pPr>
      <w:r>
        <w:rPr>
          <w:rFonts w:ascii="Calibri" w:eastAsia="Times New Roman" w:hAnsi="Calibri" w:cs="Calibri"/>
          <w:lang w:eastAsia="fr-FR"/>
        </w:rPr>
        <w:t xml:space="preserve">Les ONG des droits </w:t>
      </w:r>
      <w:r w:rsidR="00043689">
        <w:rPr>
          <w:rFonts w:ascii="Calibri" w:eastAsia="Times New Roman" w:hAnsi="Calibri" w:cs="Calibri"/>
          <w:lang w:eastAsia="fr-FR"/>
        </w:rPr>
        <w:t xml:space="preserve">humains </w:t>
      </w:r>
      <w:r>
        <w:rPr>
          <w:rFonts w:ascii="Calibri" w:eastAsia="Times New Roman" w:hAnsi="Calibri" w:cs="Calibri"/>
          <w:lang w:eastAsia="fr-FR"/>
        </w:rPr>
        <w:t>qui peuvent par exemple faciliter l’obtention ou la reconnaissance de certains documents ;</w:t>
      </w:r>
    </w:p>
    <w:p w14:paraId="6A0C90B6" w14:textId="75ED259F" w:rsidR="00A47E47" w:rsidRDefault="00D64E1B" w:rsidP="000545FF">
      <w:pPr>
        <w:pStyle w:val="Paragraphedeliste"/>
        <w:numPr>
          <w:ilvl w:val="0"/>
          <w:numId w:val="52"/>
        </w:numPr>
        <w:spacing w:after="0" w:line="240" w:lineRule="auto"/>
        <w:jc w:val="both"/>
      </w:pPr>
      <w:r>
        <w:t>L</w:t>
      </w:r>
      <w:r w:rsidR="00C1456C">
        <w:t xml:space="preserve">e secteur privé (IMF ou </w:t>
      </w:r>
      <w:r w:rsidR="00AC30BE" w:rsidRPr="000545FF">
        <w:t>autres institutions financières</w:t>
      </w:r>
      <w:r w:rsidR="00C1456C">
        <w:t>, fintech, opérateurs de téléphonie mobile</w:t>
      </w:r>
      <w:r w:rsidR="00AC30BE" w:rsidRPr="000545FF">
        <w:t>)</w:t>
      </w:r>
      <w:r w:rsidR="00AC30BE">
        <w:t xml:space="preserve"> dont l’inclusion financière est le cœur de métier</w:t>
      </w:r>
      <w:r w:rsidR="00711B04">
        <w:t xml:space="preserve"> </w:t>
      </w:r>
      <w:r>
        <w:rPr>
          <w:lang w:eastAsia="fr-FR"/>
        </w:rPr>
        <w:t>pour concevoir et/ou mettre en place des solutions techniques (infrastructures, int</w:t>
      </w:r>
      <w:r w:rsidR="00711B04">
        <w:rPr>
          <w:lang w:eastAsia="fr-FR"/>
        </w:rPr>
        <w:t>eropérabilité, numérisation</w:t>
      </w:r>
      <w:r>
        <w:rPr>
          <w:lang w:eastAsia="fr-FR"/>
        </w:rPr>
        <w:t>)</w:t>
      </w:r>
      <w:r w:rsidR="000667F8">
        <w:rPr>
          <w:lang w:eastAsia="fr-FR"/>
        </w:rPr>
        <w:t>, adapter les services proposés</w:t>
      </w:r>
      <w:r w:rsidR="000C05B8">
        <w:rPr>
          <w:lang w:eastAsia="fr-FR"/>
        </w:rPr>
        <w:t>,</w:t>
      </w:r>
      <w:r>
        <w:rPr>
          <w:lang w:eastAsia="fr-FR"/>
        </w:rPr>
        <w:t xml:space="preserve"> développer les points de vente</w:t>
      </w:r>
      <w:r w:rsidR="000C05B8">
        <w:rPr>
          <w:lang w:eastAsia="fr-FR"/>
        </w:rPr>
        <w:t xml:space="preserve">, </w:t>
      </w:r>
      <w:r w:rsidR="00711B04">
        <w:rPr>
          <w:lang w:eastAsia="fr-FR"/>
        </w:rPr>
        <w:t xml:space="preserve">etc. </w:t>
      </w:r>
      <w:r w:rsidR="000C05B8">
        <w:rPr>
          <w:lang w:eastAsia="fr-FR"/>
        </w:rPr>
        <w:t>;</w:t>
      </w:r>
    </w:p>
    <w:p w14:paraId="5004E46B" w14:textId="61AA44F9" w:rsidR="000667F8" w:rsidRDefault="00711B04" w:rsidP="000545FF">
      <w:pPr>
        <w:pStyle w:val="Paragraphedeliste"/>
        <w:numPr>
          <w:ilvl w:val="0"/>
          <w:numId w:val="52"/>
        </w:numPr>
        <w:spacing w:after="0" w:line="240" w:lineRule="auto"/>
        <w:jc w:val="both"/>
      </w:pPr>
      <w:r>
        <w:rPr>
          <w:lang w:eastAsia="fr-FR"/>
        </w:rPr>
        <w:t>La communication et la</w:t>
      </w:r>
      <w:r w:rsidR="00D64E1B" w:rsidRPr="00170E42">
        <w:rPr>
          <w:lang w:eastAsia="fr-FR"/>
        </w:rPr>
        <w:t xml:space="preserve"> collaboration </w:t>
      </w:r>
      <w:r w:rsidR="00D64E1B" w:rsidRPr="00A47E47">
        <w:rPr>
          <w:rFonts w:ascii="Calibri" w:eastAsia="Times New Roman" w:hAnsi="Calibri" w:cs="Calibri"/>
          <w:lang w:eastAsia="fr-FR"/>
        </w:rPr>
        <w:t xml:space="preserve">avec les administrations publiques pour assouplir les contraintes politiques et réglementaires. </w:t>
      </w:r>
    </w:p>
    <w:p w14:paraId="75EE260A" w14:textId="77777777" w:rsidR="00BB235C" w:rsidRPr="000545FF" w:rsidRDefault="00BB235C" w:rsidP="000545FF">
      <w:pPr>
        <w:spacing w:after="0"/>
        <w:jc w:val="both"/>
        <w:rPr>
          <w:rFonts w:ascii="Calibri" w:eastAsia="Times New Roman" w:hAnsi="Calibri" w:cs="Calibri"/>
          <w:lang w:eastAsia="fr-FR"/>
        </w:rPr>
      </w:pPr>
    </w:p>
    <w:p w14:paraId="3104F092" w14:textId="5ED7AE92" w:rsidR="00D76854" w:rsidRDefault="00BB235C" w:rsidP="000545FF">
      <w:pPr>
        <w:pStyle w:val="Titre3"/>
        <w:ind w:firstLine="708"/>
        <w:rPr>
          <w:rFonts w:eastAsia="Times New Roman"/>
          <w:lang w:eastAsia="fr-FR"/>
        </w:rPr>
      </w:pPr>
      <w:bookmarkStart w:id="7" w:name="_Toc55391560"/>
      <w:r>
        <w:rPr>
          <w:rFonts w:eastAsia="Times New Roman"/>
          <w:lang w:eastAsia="fr-FR"/>
        </w:rPr>
        <w:t>2.</w:t>
      </w:r>
      <w:r w:rsidR="004F5C02">
        <w:rPr>
          <w:rFonts w:eastAsia="Times New Roman"/>
          <w:lang w:eastAsia="fr-FR"/>
        </w:rPr>
        <w:t>3</w:t>
      </w:r>
      <w:r>
        <w:rPr>
          <w:rFonts w:eastAsia="Times New Roman"/>
          <w:lang w:eastAsia="fr-FR"/>
        </w:rPr>
        <w:t>.3</w:t>
      </w:r>
      <w:r w:rsidRPr="00A10A07">
        <w:rPr>
          <w:rFonts w:eastAsia="Times New Roman"/>
          <w:lang w:eastAsia="fr-FR"/>
        </w:rPr>
        <w:t xml:space="preserve">. </w:t>
      </w:r>
      <w:r>
        <w:rPr>
          <w:rFonts w:eastAsia="Times New Roman"/>
          <w:lang w:eastAsia="fr-FR"/>
        </w:rPr>
        <w:t>Améliorer la perception des risques</w:t>
      </w:r>
      <w:bookmarkEnd w:id="7"/>
    </w:p>
    <w:p w14:paraId="0FD4F674" w14:textId="77777777" w:rsidR="00BB235C" w:rsidRDefault="00BB235C" w:rsidP="00A72697">
      <w:pPr>
        <w:spacing w:after="0" w:line="240" w:lineRule="auto"/>
        <w:jc w:val="both"/>
        <w:rPr>
          <w:rFonts w:ascii="Calibri" w:eastAsia="Times New Roman" w:hAnsi="Calibri" w:cs="Calibri"/>
          <w:lang w:eastAsia="fr-FR"/>
        </w:rPr>
      </w:pPr>
    </w:p>
    <w:p w14:paraId="4C98C56B" w14:textId="10E53296" w:rsidR="00A72697" w:rsidRPr="000545FF" w:rsidRDefault="00D76854" w:rsidP="000545FF">
      <w:pPr>
        <w:spacing w:after="0" w:line="240" w:lineRule="auto"/>
        <w:jc w:val="both"/>
        <w:rPr>
          <w:rFonts w:ascii="Calibri" w:eastAsia="Times New Roman" w:hAnsi="Calibri" w:cs="Calibri"/>
          <w:i/>
          <w:iCs/>
          <w:lang w:eastAsia="fr-FR"/>
        </w:rPr>
      </w:pPr>
      <w:r>
        <w:rPr>
          <w:rFonts w:ascii="Calibri" w:eastAsia="Times New Roman" w:hAnsi="Calibri" w:cs="Calibri"/>
          <w:lang w:eastAsia="fr-FR"/>
        </w:rPr>
        <w:t>L’un des obstacles à l’inclusion financière des migrant</w:t>
      </w:r>
      <w:r w:rsidR="00043689">
        <w:rPr>
          <w:rFonts w:ascii="Calibri" w:eastAsia="Times New Roman" w:hAnsi="Calibri" w:cs="Calibri"/>
          <w:lang w:eastAsia="fr-FR"/>
        </w:rPr>
        <w:t>-e-</w:t>
      </w:r>
      <w:r>
        <w:rPr>
          <w:rFonts w:ascii="Calibri" w:eastAsia="Times New Roman" w:hAnsi="Calibri" w:cs="Calibri"/>
          <w:lang w:eastAsia="fr-FR"/>
        </w:rPr>
        <w:t>s est la perception erronée que les institutions financières peuvent avoir d’</w:t>
      </w:r>
      <w:r w:rsidR="00043689">
        <w:rPr>
          <w:rFonts w:ascii="Calibri" w:eastAsia="Times New Roman" w:hAnsi="Calibri" w:cs="Calibri"/>
          <w:lang w:eastAsia="fr-FR"/>
        </w:rPr>
        <w:t xml:space="preserve">elles et </w:t>
      </w:r>
      <w:r>
        <w:rPr>
          <w:rFonts w:ascii="Calibri" w:eastAsia="Times New Roman" w:hAnsi="Calibri" w:cs="Calibri"/>
          <w:lang w:eastAsia="fr-FR"/>
        </w:rPr>
        <w:t xml:space="preserve">eux. Elles peuvent partir du principe que ces populations ne sont pas bancables, non fiables car mobiles. </w:t>
      </w:r>
      <w:r w:rsidRPr="000545FF">
        <w:rPr>
          <w:rFonts w:ascii="Calibri" w:eastAsia="Times New Roman" w:hAnsi="Calibri" w:cs="Calibri"/>
          <w:lang w:eastAsia="fr-FR"/>
        </w:rPr>
        <w:t>Les migrant</w:t>
      </w:r>
      <w:r w:rsidR="00043689">
        <w:rPr>
          <w:rFonts w:ascii="Calibri" w:eastAsia="Times New Roman" w:hAnsi="Calibri" w:cs="Calibri"/>
          <w:lang w:eastAsia="fr-FR"/>
        </w:rPr>
        <w:t>-e-</w:t>
      </w:r>
      <w:r w:rsidRPr="000545FF">
        <w:rPr>
          <w:rFonts w:ascii="Calibri" w:eastAsia="Times New Roman" w:hAnsi="Calibri" w:cs="Calibri"/>
          <w:lang w:eastAsia="fr-FR"/>
        </w:rPr>
        <w:t xml:space="preserve">s ne constituent pas un groupe homogène, aussi les </w:t>
      </w:r>
      <w:r>
        <w:rPr>
          <w:rFonts w:ascii="Calibri" w:eastAsia="Times New Roman" w:hAnsi="Calibri" w:cs="Calibri"/>
          <w:lang w:eastAsia="fr-FR"/>
        </w:rPr>
        <w:t>institutions financières doivent</w:t>
      </w:r>
      <w:r w:rsidRPr="000545FF">
        <w:rPr>
          <w:rFonts w:ascii="Calibri" w:eastAsia="Times New Roman" w:hAnsi="Calibri" w:cs="Calibri"/>
          <w:lang w:eastAsia="fr-FR"/>
        </w:rPr>
        <w:t xml:space="preserve"> comprendre la spécificité de leur situation et de leurs caractéristiques socio-économiques pour pouvoir </w:t>
      </w:r>
      <w:r>
        <w:rPr>
          <w:rFonts w:ascii="Calibri" w:eastAsia="Times New Roman" w:hAnsi="Calibri" w:cs="Calibri"/>
          <w:lang w:eastAsia="fr-FR"/>
        </w:rPr>
        <w:t>s'adresser à ce marché. Il existe donc un enjeu de collecte de</w:t>
      </w:r>
      <w:r w:rsidRPr="000545FF">
        <w:rPr>
          <w:rFonts w:ascii="Calibri" w:eastAsia="Times New Roman" w:hAnsi="Calibri" w:cs="Calibri"/>
          <w:lang w:eastAsia="fr-FR"/>
        </w:rPr>
        <w:t xml:space="preserve"> ces données</w:t>
      </w:r>
      <w:r w:rsidR="00043689">
        <w:rPr>
          <w:rFonts w:ascii="Calibri" w:eastAsia="Times New Roman" w:hAnsi="Calibri" w:cs="Calibri"/>
          <w:lang w:eastAsia="fr-FR"/>
        </w:rPr>
        <w:t>, sexo-différenciées</w:t>
      </w:r>
      <w:r w:rsidR="008A46F6">
        <w:rPr>
          <w:rFonts w:ascii="Calibri" w:eastAsia="Times New Roman" w:hAnsi="Calibri" w:cs="Calibri"/>
          <w:lang w:eastAsia="fr-FR"/>
        </w:rPr>
        <w:t>, par exemple sur les besoins des migrant</w:t>
      </w:r>
      <w:r w:rsidR="00043689">
        <w:rPr>
          <w:rFonts w:ascii="Calibri" w:eastAsia="Times New Roman" w:hAnsi="Calibri" w:cs="Calibri"/>
          <w:lang w:eastAsia="fr-FR"/>
        </w:rPr>
        <w:t>-e-</w:t>
      </w:r>
      <w:r w:rsidR="008A46F6">
        <w:rPr>
          <w:rFonts w:ascii="Calibri" w:eastAsia="Times New Roman" w:hAnsi="Calibri" w:cs="Calibri"/>
          <w:lang w:eastAsia="fr-FR"/>
        </w:rPr>
        <w:t>s, leur localisation, l’analyse des chaînes de valeurs et des opportunités commerciales,</w:t>
      </w:r>
      <w:r w:rsidRPr="000545FF">
        <w:rPr>
          <w:rFonts w:ascii="Calibri" w:eastAsia="Times New Roman" w:hAnsi="Calibri" w:cs="Calibri"/>
          <w:lang w:eastAsia="fr-FR"/>
        </w:rPr>
        <w:t xml:space="preserve"> </w:t>
      </w:r>
      <w:r>
        <w:rPr>
          <w:rFonts w:ascii="Calibri" w:eastAsia="Times New Roman" w:hAnsi="Calibri" w:cs="Calibri"/>
          <w:lang w:eastAsia="fr-FR"/>
        </w:rPr>
        <w:t xml:space="preserve">qui </w:t>
      </w:r>
      <w:r w:rsidRPr="000545FF">
        <w:rPr>
          <w:rFonts w:ascii="Calibri" w:eastAsia="Times New Roman" w:hAnsi="Calibri" w:cs="Calibri"/>
          <w:lang w:eastAsia="fr-FR"/>
        </w:rPr>
        <w:t>peuvent être indisponibles ou insuffisantes</w:t>
      </w:r>
      <w:r>
        <w:rPr>
          <w:rFonts w:ascii="Calibri" w:eastAsia="Times New Roman" w:hAnsi="Calibri" w:cs="Calibri"/>
          <w:lang w:eastAsia="fr-FR"/>
        </w:rPr>
        <w:t>. Dans certaines zones</w:t>
      </w:r>
      <w:r w:rsidR="008A46F6">
        <w:rPr>
          <w:rFonts w:ascii="Calibri" w:eastAsia="Times New Roman" w:hAnsi="Calibri" w:cs="Calibri"/>
          <w:lang w:eastAsia="fr-FR"/>
        </w:rPr>
        <w:t xml:space="preserve"> par exemple</w:t>
      </w:r>
      <w:r>
        <w:rPr>
          <w:rFonts w:ascii="Calibri" w:eastAsia="Times New Roman" w:hAnsi="Calibri" w:cs="Calibri"/>
          <w:lang w:eastAsia="fr-FR"/>
        </w:rPr>
        <w:t>, des études de marchés ont encouragé les institutions financières à investir le marché des réfugié</w:t>
      </w:r>
      <w:r w:rsidR="00043689">
        <w:rPr>
          <w:rFonts w:ascii="Calibri" w:eastAsia="Times New Roman" w:hAnsi="Calibri" w:cs="Calibri"/>
          <w:lang w:eastAsia="fr-FR"/>
        </w:rPr>
        <w:t>-e-</w:t>
      </w:r>
      <w:r>
        <w:rPr>
          <w:rFonts w:ascii="Calibri" w:eastAsia="Times New Roman" w:hAnsi="Calibri" w:cs="Calibri"/>
          <w:lang w:eastAsia="fr-FR"/>
        </w:rPr>
        <w:t>s en prouvant qu’</w:t>
      </w:r>
      <w:r w:rsidR="00043689">
        <w:rPr>
          <w:rFonts w:ascii="Calibri" w:eastAsia="Times New Roman" w:hAnsi="Calibri" w:cs="Calibri"/>
          <w:lang w:eastAsia="fr-FR"/>
        </w:rPr>
        <w:t xml:space="preserve">elles et </w:t>
      </w:r>
      <w:r>
        <w:rPr>
          <w:rFonts w:ascii="Calibri" w:eastAsia="Times New Roman" w:hAnsi="Calibri" w:cs="Calibri"/>
          <w:lang w:eastAsia="fr-FR"/>
        </w:rPr>
        <w:t xml:space="preserve">ils </w:t>
      </w:r>
      <w:r>
        <w:rPr>
          <w:rFonts w:ascii="Calibri" w:eastAsia="Times New Roman" w:hAnsi="Calibri" w:cs="Calibri"/>
          <w:lang w:eastAsia="fr-FR"/>
        </w:rPr>
        <w:lastRenderedPageBreak/>
        <w:t>constituent un segment commercial viable.</w:t>
      </w:r>
      <w:r w:rsidR="00141887">
        <w:rPr>
          <w:rFonts w:ascii="Calibri" w:eastAsia="Times New Roman" w:hAnsi="Calibri" w:cs="Calibri"/>
          <w:lang w:eastAsia="fr-FR"/>
        </w:rPr>
        <w:t xml:space="preserve"> Ce champ d’activité, mené en lien étroit avec les institutions financières concernées reste peu développé.</w:t>
      </w:r>
      <w:r w:rsidR="00043689">
        <w:rPr>
          <w:rFonts w:ascii="Calibri" w:eastAsia="Times New Roman" w:hAnsi="Calibri" w:cs="Calibri"/>
          <w:lang w:eastAsia="fr-FR"/>
        </w:rPr>
        <w:t xml:space="preserve"> </w:t>
      </w:r>
    </w:p>
    <w:p w14:paraId="60C346D3" w14:textId="77777777" w:rsidR="001273AB" w:rsidRPr="000545FF" w:rsidRDefault="001273AB" w:rsidP="000545FF">
      <w:pPr>
        <w:spacing w:after="0"/>
        <w:rPr>
          <w:lang w:eastAsia="fr-FR"/>
        </w:rPr>
      </w:pPr>
    </w:p>
    <w:p w14:paraId="3E80FEB2" w14:textId="1350FF58" w:rsidR="001273AB" w:rsidRPr="000545FF" w:rsidRDefault="008B4973" w:rsidP="00A72697">
      <w:pPr>
        <w:pStyle w:val="Titre3"/>
        <w:ind w:firstLine="708"/>
        <w:rPr>
          <w:rFonts w:eastAsiaTheme="minorHAnsi"/>
          <w:lang w:eastAsia="fr-FR"/>
        </w:rPr>
      </w:pPr>
      <w:bookmarkStart w:id="8" w:name="_Toc55391561"/>
      <w:r w:rsidRPr="000545FF">
        <w:rPr>
          <w:rFonts w:eastAsiaTheme="minorHAnsi"/>
          <w:lang w:eastAsia="fr-FR"/>
        </w:rPr>
        <w:t>2.</w:t>
      </w:r>
      <w:r w:rsidR="004F5C02">
        <w:rPr>
          <w:rFonts w:eastAsiaTheme="minorHAnsi"/>
          <w:lang w:eastAsia="fr-FR"/>
        </w:rPr>
        <w:t>3</w:t>
      </w:r>
      <w:r w:rsidRPr="000545FF">
        <w:rPr>
          <w:rFonts w:eastAsiaTheme="minorHAnsi"/>
          <w:lang w:eastAsia="fr-FR"/>
        </w:rPr>
        <w:t>.4</w:t>
      </w:r>
      <w:r w:rsidR="001273AB" w:rsidRPr="000545FF">
        <w:rPr>
          <w:rFonts w:eastAsiaTheme="minorHAnsi"/>
          <w:lang w:eastAsia="fr-FR"/>
        </w:rPr>
        <w:t xml:space="preserve">. </w:t>
      </w:r>
      <w:r w:rsidR="00086661">
        <w:rPr>
          <w:rFonts w:eastAsiaTheme="minorHAnsi"/>
          <w:lang w:eastAsia="fr-FR"/>
        </w:rPr>
        <w:t>Développer les in</w:t>
      </w:r>
      <w:r w:rsidR="00C1456C" w:rsidRPr="000545FF">
        <w:rPr>
          <w:rFonts w:eastAsiaTheme="minorHAnsi"/>
          <w:lang w:eastAsia="fr-FR"/>
        </w:rPr>
        <w:t>frastructures financières</w:t>
      </w:r>
      <w:r w:rsidR="004273AE">
        <w:rPr>
          <w:rFonts w:eastAsiaTheme="minorHAnsi"/>
          <w:lang w:eastAsia="fr-FR"/>
        </w:rPr>
        <w:t xml:space="preserve"> et l’offre de produits</w:t>
      </w:r>
      <w:bookmarkEnd w:id="8"/>
    </w:p>
    <w:p w14:paraId="156F6ACF" w14:textId="77777777" w:rsidR="00C1456C" w:rsidRPr="000545FF" w:rsidRDefault="00C1456C" w:rsidP="000545FF">
      <w:pPr>
        <w:spacing w:after="0" w:line="240" w:lineRule="auto"/>
        <w:jc w:val="both"/>
        <w:rPr>
          <w:rFonts w:ascii="Calibri" w:eastAsia="Times New Roman" w:hAnsi="Calibri" w:cs="Calibri"/>
          <w:lang w:eastAsia="fr-FR"/>
        </w:rPr>
      </w:pPr>
    </w:p>
    <w:p w14:paraId="34BCA83C" w14:textId="5ECA51C6" w:rsidR="00BB235C" w:rsidRDefault="00BB235C">
      <w:pPr>
        <w:spacing w:after="0" w:line="240" w:lineRule="auto"/>
        <w:jc w:val="both"/>
        <w:rPr>
          <w:rFonts w:ascii="Calibri" w:eastAsia="Times New Roman" w:hAnsi="Calibri" w:cs="Calibri"/>
          <w:lang w:eastAsia="fr-FR"/>
        </w:rPr>
      </w:pPr>
      <w:r>
        <w:rPr>
          <w:rFonts w:ascii="Calibri" w:eastAsia="Times New Roman" w:hAnsi="Calibri" w:cs="Calibri"/>
          <w:lang w:eastAsia="fr-FR"/>
        </w:rPr>
        <w:t>Les enjeux liés aux infrastructures financières sont variés, par exemple l’extension des réseaux de</w:t>
      </w:r>
      <w:r w:rsidR="00C1456C" w:rsidRPr="000545FF">
        <w:rPr>
          <w:rFonts w:ascii="Calibri" w:eastAsia="Times New Roman" w:hAnsi="Calibri" w:cs="Calibri"/>
          <w:lang w:eastAsia="fr-FR"/>
        </w:rPr>
        <w:t xml:space="preserve"> points de vente de services financiers</w:t>
      </w:r>
      <w:r>
        <w:rPr>
          <w:rFonts w:ascii="Calibri" w:eastAsia="Times New Roman" w:hAnsi="Calibri" w:cs="Calibri"/>
          <w:lang w:eastAsia="fr-FR"/>
        </w:rPr>
        <w:t> ; ou d</w:t>
      </w:r>
      <w:r w:rsidR="008B6AE9">
        <w:rPr>
          <w:rFonts w:ascii="Calibri" w:eastAsia="Times New Roman" w:hAnsi="Calibri" w:cs="Calibri"/>
          <w:lang w:eastAsia="fr-FR"/>
        </w:rPr>
        <w:t>’un point de vue plus technique :</w:t>
      </w:r>
      <w:r>
        <w:rPr>
          <w:rFonts w:ascii="Calibri" w:eastAsia="Times New Roman" w:hAnsi="Calibri" w:cs="Calibri"/>
          <w:lang w:eastAsia="fr-FR"/>
        </w:rPr>
        <w:t xml:space="preserve"> le développement </w:t>
      </w:r>
      <w:r w:rsidR="00C1456C" w:rsidRPr="000545FF">
        <w:rPr>
          <w:rFonts w:ascii="Calibri" w:eastAsia="Times New Roman" w:hAnsi="Calibri" w:cs="Calibri"/>
          <w:lang w:eastAsia="fr-FR"/>
        </w:rPr>
        <w:t>des infrastructures de paiement,</w:t>
      </w:r>
      <w:r>
        <w:rPr>
          <w:rFonts w:ascii="Calibri" w:eastAsia="Times New Roman" w:hAnsi="Calibri" w:cs="Calibri"/>
          <w:lang w:eastAsia="fr-FR"/>
        </w:rPr>
        <w:t xml:space="preserve"> des portefeuilles numériques ou de</w:t>
      </w:r>
      <w:r w:rsidR="00C1456C" w:rsidRPr="000545FF">
        <w:rPr>
          <w:rFonts w:ascii="Calibri" w:eastAsia="Times New Roman" w:hAnsi="Calibri" w:cs="Calibri"/>
          <w:lang w:eastAsia="fr-FR"/>
        </w:rPr>
        <w:t xml:space="preserve"> l’interopérabilité</w:t>
      </w:r>
      <w:r w:rsidR="008B6AE9">
        <w:rPr>
          <w:rFonts w:ascii="Calibri" w:eastAsia="Times New Roman" w:hAnsi="Calibri" w:cs="Calibri"/>
          <w:lang w:eastAsia="fr-FR"/>
        </w:rPr>
        <w:t>, la facilitation de l’identification des client</w:t>
      </w:r>
      <w:r w:rsidR="00043689">
        <w:rPr>
          <w:rFonts w:ascii="Calibri" w:eastAsia="Times New Roman" w:hAnsi="Calibri" w:cs="Calibri"/>
          <w:lang w:eastAsia="fr-FR"/>
        </w:rPr>
        <w:t>-e-</w:t>
      </w:r>
      <w:r w:rsidR="008B6AE9">
        <w:rPr>
          <w:rFonts w:ascii="Calibri" w:eastAsia="Times New Roman" w:hAnsi="Calibri" w:cs="Calibri"/>
          <w:lang w:eastAsia="fr-FR"/>
        </w:rPr>
        <w:t>s et la sécurisation de leurs données</w:t>
      </w:r>
      <w:r>
        <w:rPr>
          <w:rStyle w:val="Appelnotedebasdep"/>
          <w:rFonts w:ascii="Calibri" w:eastAsia="Times New Roman" w:hAnsi="Calibri" w:cs="Calibri"/>
          <w:lang w:eastAsia="fr-FR"/>
        </w:rPr>
        <w:footnoteReference w:id="7"/>
      </w:r>
      <w:r>
        <w:rPr>
          <w:rFonts w:ascii="Calibri" w:eastAsia="Times New Roman" w:hAnsi="Calibri" w:cs="Calibri"/>
          <w:lang w:eastAsia="fr-FR"/>
        </w:rPr>
        <w:t>.</w:t>
      </w:r>
      <w:r w:rsidRPr="00BB235C" w:rsidDel="00C1456C">
        <w:rPr>
          <w:rFonts w:ascii="Calibri" w:eastAsia="Times New Roman" w:hAnsi="Calibri" w:cs="Calibri"/>
          <w:i/>
          <w:lang w:eastAsia="fr-FR"/>
        </w:rPr>
        <w:t xml:space="preserve"> </w:t>
      </w:r>
      <w:r w:rsidR="004273AE">
        <w:rPr>
          <w:rFonts w:ascii="Calibri" w:eastAsia="Times New Roman" w:hAnsi="Calibri" w:cs="Calibri"/>
          <w:lang w:eastAsia="fr-FR"/>
        </w:rPr>
        <w:t xml:space="preserve">Par ailleurs, les institutions financières peuvent </w:t>
      </w:r>
      <w:r w:rsidR="00141887">
        <w:rPr>
          <w:rFonts w:ascii="Calibri" w:eastAsia="Times New Roman" w:hAnsi="Calibri" w:cs="Calibri"/>
          <w:lang w:eastAsia="fr-FR"/>
        </w:rPr>
        <w:t xml:space="preserve">adapter leurs conditions de recours aux services financiers pour s’adapter à la cible particulière des migrants </w:t>
      </w:r>
      <w:r w:rsidR="00043689">
        <w:rPr>
          <w:rFonts w:ascii="Calibri" w:eastAsia="Times New Roman" w:hAnsi="Calibri" w:cs="Calibri"/>
          <w:lang w:eastAsia="fr-FR"/>
        </w:rPr>
        <w:t xml:space="preserve">et des migrantes </w:t>
      </w:r>
      <w:r w:rsidR="00141887">
        <w:rPr>
          <w:rFonts w:ascii="Calibri" w:eastAsia="Times New Roman" w:hAnsi="Calibri" w:cs="Calibri"/>
          <w:lang w:eastAsia="fr-FR"/>
        </w:rPr>
        <w:t>(conditions tarifaires, niveau de collatéral requis, etc.)</w:t>
      </w:r>
      <w:r w:rsidR="000269EE">
        <w:rPr>
          <w:rFonts w:ascii="Calibri" w:eastAsia="Times New Roman" w:hAnsi="Calibri" w:cs="Calibri"/>
          <w:lang w:eastAsia="fr-FR"/>
        </w:rPr>
        <w:t xml:space="preserve"> et, dans certain cas, développer une offre de produits spécifiques</w:t>
      </w:r>
      <w:r w:rsidR="00043689">
        <w:rPr>
          <w:rFonts w:ascii="Calibri" w:eastAsia="Times New Roman" w:hAnsi="Calibri" w:cs="Calibri"/>
          <w:lang w:eastAsia="fr-FR"/>
        </w:rPr>
        <w:t>, notamment à l’attention des femmes migrantes, qui font face à des réalités spécifiques</w:t>
      </w:r>
      <w:r w:rsidR="00141887">
        <w:rPr>
          <w:rFonts w:ascii="Calibri" w:eastAsia="Times New Roman" w:hAnsi="Calibri" w:cs="Calibri"/>
          <w:lang w:eastAsia="fr-FR"/>
        </w:rPr>
        <w:t>. Des initiatives encore très isolées ont également vu le jour pour proposer des produits de type capital-risque aux populations migrantes, notamment via des plateformes de crowdfunding</w:t>
      </w:r>
      <w:r w:rsidR="000269EE">
        <w:rPr>
          <w:rStyle w:val="Appelnotedebasdep"/>
          <w:rFonts w:ascii="Calibri" w:eastAsia="Times New Roman" w:hAnsi="Calibri" w:cs="Calibri"/>
          <w:lang w:eastAsia="fr-FR"/>
        </w:rPr>
        <w:footnoteReference w:id="8"/>
      </w:r>
      <w:r w:rsidR="00141887">
        <w:rPr>
          <w:rFonts w:ascii="Calibri" w:eastAsia="Times New Roman" w:hAnsi="Calibri" w:cs="Calibri"/>
          <w:lang w:eastAsia="fr-FR"/>
        </w:rPr>
        <w:t>.</w:t>
      </w:r>
      <w:r w:rsidR="000269EE">
        <w:rPr>
          <w:rFonts w:ascii="Calibri" w:eastAsia="Times New Roman" w:hAnsi="Calibri" w:cs="Calibri"/>
          <w:lang w:eastAsia="fr-FR"/>
        </w:rPr>
        <w:t xml:space="preserve"> </w:t>
      </w:r>
      <w:r w:rsidR="00141887">
        <w:rPr>
          <w:rFonts w:ascii="Calibri" w:eastAsia="Times New Roman" w:hAnsi="Calibri" w:cs="Calibri"/>
          <w:lang w:eastAsia="fr-FR"/>
        </w:rPr>
        <w:t xml:space="preserve"> </w:t>
      </w:r>
      <w:r w:rsidR="000269EE">
        <w:rPr>
          <w:rFonts w:ascii="Calibri" w:eastAsia="Times New Roman" w:hAnsi="Calibri" w:cs="Calibri"/>
          <w:lang w:eastAsia="fr-FR"/>
        </w:rPr>
        <w:t xml:space="preserve">Pour l’ensemble de ces pratiques, il est encore difficile, faute de travaux d’évaluation-capitalisation disponibles d’en tirer des enseignements. </w:t>
      </w:r>
    </w:p>
    <w:p w14:paraId="4DCA52BF" w14:textId="77777777" w:rsidR="00865997" w:rsidRPr="000545FF" w:rsidRDefault="00865997">
      <w:pPr>
        <w:spacing w:after="0" w:line="240" w:lineRule="auto"/>
        <w:jc w:val="both"/>
        <w:rPr>
          <w:rFonts w:ascii="Calibri" w:eastAsia="Times New Roman" w:hAnsi="Calibri" w:cs="Calibri"/>
          <w:lang w:eastAsia="fr-FR"/>
        </w:rPr>
      </w:pPr>
    </w:p>
    <w:p w14:paraId="1ABE53B9" w14:textId="7D0F4DA7" w:rsidR="00086661" w:rsidRDefault="00E00232" w:rsidP="000545FF">
      <w:pPr>
        <w:pStyle w:val="Titre3"/>
        <w:ind w:firstLine="708"/>
        <w:rPr>
          <w:rFonts w:eastAsia="Times New Roman"/>
          <w:lang w:eastAsia="fr-FR"/>
        </w:rPr>
      </w:pPr>
      <w:bookmarkStart w:id="9" w:name="_Toc55391562"/>
      <w:r>
        <w:rPr>
          <w:rFonts w:eastAsia="Times New Roman"/>
          <w:lang w:eastAsia="fr-FR"/>
        </w:rPr>
        <w:t>2.</w:t>
      </w:r>
      <w:r w:rsidR="004F5C02">
        <w:rPr>
          <w:rFonts w:eastAsia="Times New Roman"/>
          <w:lang w:eastAsia="fr-FR"/>
        </w:rPr>
        <w:t>3</w:t>
      </w:r>
      <w:r>
        <w:rPr>
          <w:rFonts w:eastAsia="Times New Roman"/>
          <w:lang w:eastAsia="fr-FR"/>
        </w:rPr>
        <w:t xml:space="preserve">.5. </w:t>
      </w:r>
      <w:r w:rsidR="00424780">
        <w:rPr>
          <w:rFonts w:eastAsia="Times New Roman"/>
          <w:lang w:eastAsia="fr-FR"/>
        </w:rPr>
        <w:t>Assurer l</w:t>
      </w:r>
      <w:r>
        <w:rPr>
          <w:rFonts w:eastAsia="Times New Roman"/>
          <w:lang w:eastAsia="fr-FR"/>
        </w:rPr>
        <w:t>’</w:t>
      </w:r>
      <w:r w:rsidR="00086661">
        <w:rPr>
          <w:rFonts w:eastAsia="Times New Roman"/>
          <w:lang w:eastAsia="fr-FR"/>
        </w:rPr>
        <w:t>éducation financière</w:t>
      </w:r>
      <w:r>
        <w:rPr>
          <w:rFonts w:eastAsia="Times New Roman"/>
          <w:lang w:eastAsia="fr-FR"/>
        </w:rPr>
        <w:t xml:space="preserve"> et la protection des client</w:t>
      </w:r>
      <w:r w:rsidR="00043689">
        <w:rPr>
          <w:rFonts w:eastAsia="Times New Roman"/>
          <w:lang w:eastAsia="fr-FR"/>
        </w:rPr>
        <w:t>-e-</w:t>
      </w:r>
      <w:r>
        <w:rPr>
          <w:rFonts w:eastAsia="Times New Roman"/>
          <w:lang w:eastAsia="fr-FR"/>
        </w:rPr>
        <w:t>s</w:t>
      </w:r>
      <w:bookmarkEnd w:id="9"/>
    </w:p>
    <w:p w14:paraId="2A19C9C2" w14:textId="77777777" w:rsidR="008B6AE9" w:rsidRDefault="008B6AE9" w:rsidP="000545FF">
      <w:pPr>
        <w:spacing w:after="0"/>
        <w:rPr>
          <w:lang w:eastAsia="fr-FR"/>
        </w:rPr>
      </w:pPr>
    </w:p>
    <w:p w14:paraId="75039EB1" w14:textId="335F9723" w:rsidR="008B6AE9" w:rsidRDefault="008B6AE9" w:rsidP="006B7B67">
      <w:pPr>
        <w:spacing w:after="0" w:line="240" w:lineRule="auto"/>
        <w:jc w:val="both"/>
        <w:rPr>
          <w:lang w:eastAsia="fr-FR"/>
        </w:rPr>
      </w:pPr>
      <w:r>
        <w:rPr>
          <w:lang w:eastAsia="fr-FR"/>
        </w:rPr>
        <w:t>Le point précédent nous mène à la question de l’éducation financière, la promotion de solutions spécifiques et surtout,</w:t>
      </w:r>
      <w:r w:rsidR="00AC0C9A">
        <w:rPr>
          <w:lang w:eastAsia="fr-FR"/>
        </w:rPr>
        <w:t xml:space="preserve"> de</w:t>
      </w:r>
      <w:r>
        <w:rPr>
          <w:lang w:eastAsia="fr-FR"/>
        </w:rPr>
        <w:t xml:space="preserve"> leur appropriation par les bénéficiaires.</w:t>
      </w:r>
      <w:r w:rsidR="00E00232">
        <w:rPr>
          <w:lang w:eastAsia="fr-FR"/>
        </w:rPr>
        <w:t xml:space="preserve"> Cet enjeu est indissociable de celui de la protection des client</w:t>
      </w:r>
      <w:r w:rsidR="00043689">
        <w:rPr>
          <w:lang w:eastAsia="fr-FR"/>
        </w:rPr>
        <w:t>-e-</w:t>
      </w:r>
      <w:r w:rsidR="00E00232">
        <w:rPr>
          <w:lang w:eastAsia="fr-FR"/>
        </w:rPr>
        <w:t xml:space="preserve">s et de leurs données. </w:t>
      </w:r>
      <w:r w:rsidR="00E00232" w:rsidRPr="00170E42">
        <w:rPr>
          <w:rFonts w:ascii="Calibri" w:eastAsia="Times New Roman" w:hAnsi="Calibri" w:cs="Calibri"/>
          <w:lang w:eastAsia="fr-FR"/>
        </w:rPr>
        <w:t xml:space="preserve">Les migrants </w:t>
      </w:r>
      <w:r w:rsidR="00043689">
        <w:rPr>
          <w:rFonts w:ascii="Calibri" w:eastAsia="Times New Roman" w:hAnsi="Calibri" w:cs="Calibri"/>
          <w:lang w:eastAsia="fr-FR"/>
        </w:rPr>
        <w:t xml:space="preserve">et migrantes </w:t>
      </w:r>
      <w:r w:rsidR="00E00232" w:rsidRPr="00170E42">
        <w:rPr>
          <w:rFonts w:ascii="Calibri" w:eastAsia="Times New Roman" w:hAnsi="Calibri" w:cs="Calibri"/>
          <w:lang w:eastAsia="fr-FR"/>
        </w:rPr>
        <w:t>peuvent avoir une moindre co</w:t>
      </w:r>
      <w:r w:rsidR="00E00232">
        <w:rPr>
          <w:rFonts w:ascii="Calibri" w:eastAsia="Times New Roman" w:hAnsi="Calibri" w:cs="Calibri"/>
          <w:lang w:eastAsia="fr-FR"/>
        </w:rPr>
        <w:t xml:space="preserve">mpréhension du système financier local, </w:t>
      </w:r>
      <w:r w:rsidR="007D734C">
        <w:rPr>
          <w:rFonts w:ascii="Calibri" w:eastAsia="Times New Roman" w:hAnsi="Calibri" w:cs="Calibri"/>
          <w:lang w:eastAsia="fr-FR"/>
        </w:rPr>
        <w:t>au</w:t>
      </w:r>
      <w:r w:rsidR="00E00232">
        <w:rPr>
          <w:rFonts w:ascii="Calibri" w:eastAsia="Times New Roman" w:hAnsi="Calibri" w:cs="Calibri"/>
          <w:lang w:eastAsia="fr-FR"/>
        </w:rPr>
        <w:t>quel cas ils</w:t>
      </w:r>
      <w:r w:rsidR="00AC0C9A">
        <w:rPr>
          <w:rFonts w:ascii="Calibri" w:eastAsia="Times New Roman" w:hAnsi="Calibri" w:cs="Calibri"/>
          <w:lang w:eastAsia="fr-FR"/>
        </w:rPr>
        <w:t xml:space="preserve"> </w:t>
      </w:r>
      <w:r w:rsidR="00043689">
        <w:rPr>
          <w:rFonts w:ascii="Calibri" w:eastAsia="Times New Roman" w:hAnsi="Calibri" w:cs="Calibri"/>
          <w:lang w:eastAsia="fr-FR"/>
        </w:rPr>
        <w:t xml:space="preserve">et elles </w:t>
      </w:r>
      <w:r w:rsidR="00AC0C9A">
        <w:rPr>
          <w:rFonts w:ascii="Calibri" w:eastAsia="Times New Roman" w:hAnsi="Calibri" w:cs="Calibri"/>
          <w:lang w:eastAsia="fr-FR"/>
        </w:rPr>
        <w:t>sont</w:t>
      </w:r>
      <w:r w:rsidR="00E00232" w:rsidRPr="00170E42">
        <w:rPr>
          <w:rFonts w:ascii="Calibri" w:eastAsia="Times New Roman" w:hAnsi="Calibri" w:cs="Calibri"/>
          <w:lang w:eastAsia="fr-FR"/>
        </w:rPr>
        <w:t xml:space="preserve"> plus susceptibles d'être exposé</w:t>
      </w:r>
      <w:r w:rsidR="00043689">
        <w:rPr>
          <w:rFonts w:ascii="Calibri" w:eastAsia="Times New Roman" w:hAnsi="Calibri" w:cs="Calibri"/>
          <w:lang w:eastAsia="fr-FR"/>
        </w:rPr>
        <w:t>-e-</w:t>
      </w:r>
      <w:r w:rsidR="00E00232" w:rsidRPr="00170E42">
        <w:rPr>
          <w:rFonts w:ascii="Calibri" w:eastAsia="Times New Roman" w:hAnsi="Calibri" w:cs="Calibri"/>
          <w:lang w:eastAsia="fr-FR"/>
        </w:rPr>
        <w:t>s aux risques des consommateurs</w:t>
      </w:r>
      <w:r w:rsidR="00043689">
        <w:rPr>
          <w:rFonts w:ascii="Calibri" w:eastAsia="Times New Roman" w:hAnsi="Calibri" w:cs="Calibri"/>
          <w:lang w:eastAsia="fr-FR"/>
        </w:rPr>
        <w:t xml:space="preserve"> et consommatrices</w:t>
      </w:r>
      <w:r w:rsidR="00E00232" w:rsidRPr="00170E42">
        <w:rPr>
          <w:rFonts w:ascii="Calibri" w:eastAsia="Times New Roman" w:hAnsi="Calibri" w:cs="Calibri"/>
          <w:lang w:eastAsia="fr-FR"/>
        </w:rPr>
        <w:t>. Les déplacé</w:t>
      </w:r>
      <w:r w:rsidR="00043689">
        <w:rPr>
          <w:rFonts w:ascii="Calibri" w:eastAsia="Times New Roman" w:hAnsi="Calibri" w:cs="Calibri"/>
          <w:lang w:eastAsia="fr-FR"/>
        </w:rPr>
        <w:t>-e-</w:t>
      </w:r>
      <w:r w:rsidR="00E00232" w:rsidRPr="00170E42">
        <w:rPr>
          <w:rFonts w:ascii="Calibri" w:eastAsia="Times New Roman" w:hAnsi="Calibri" w:cs="Calibri"/>
          <w:lang w:eastAsia="fr-FR"/>
        </w:rPr>
        <w:t>s et réfugié</w:t>
      </w:r>
      <w:r w:rsidR="00043689">
        <w:rPr>
          <w:rFonts w:ascii="Calibri" w:eastAsia="Times New Roman" w:hAnsi="Calibri" w:cs="Calibri"/>
          <w:lang w:eastAsia="fr-FR"/>
        </w:rPr>
        <w:t>-e-</w:t>
      </w:r>
      <w:r w:rsidR="00E00232" w:rsidRPr="00170E42">
        <w:rPr>
          <w:rFonts w:ascii="Calibri" w:eastAsia="Times New Roman" w:hAnsi="Calibri" w:cs="Calibri"/>
          <w:lang w:eastAsia="fr-FR"/>
        </w:rPr>
        <w:t>s notamment peuvent être particulièrement préoccupé</w:t>
      </w:r>
      <w:r w:rsidR="00043689">
        <w:rPr>
          <w:rFonts w:ascii="Calibri" w:eastAsia="Times New Roman" w:hAnsi="Calibri" w:cs="Calibri"/>
          <w:lang w:eastAsia="fr-FR"/>
        </w:rPr>
        <w:t>-e-</w:t>
      </w:r>
      <w:r w:rsidR="00E00232" w:rsidRPr="00170E42">
        <w:rPr>
          <w:rFonts w:ascii="Calibri" w:eastAsia="Times New Roman" w:hAnsi="Calibri" w:cs="Calibri"/>
          <w:lang w:eastAsia="fr-FR"/>
        </w:rPr>
        <w:t xml:space="preserve">s par la protection de leurs données. </w:t>
      </w:r>
      <w:r w:rsidR="00C921F3">
        <w:rPr>
          <w:rFonts w:ascii="Calibri" w:eastAsia="Times New Roman" w:hAnsi="Calibri" w:cs="Calibri"/>
          <w:lang w:eastAsia="fr-FR"/>
        </w:rPr>
        <w:t>Améliorer</w:t>
      </w:r>
      <w:r w:rsidR="00E00232">
        <w:rPr>
          <w:rFonts w:ascii="Calibri" w:eastAsia="Times New Roman" w:hAnsi="Calibri" w:cs="Calibri"/>
          <w:lang w:eastAsia="fr-FR"/>
        </w:rPr>
        <w:t xml:space="preserve"> l</w:t>
      </w:r>
      <w:r w:rsidR="00E00232" w:rsidRPr="00170E42">
        <w:rPr>
          <w:rFonts w:ascii="Calibri" w:eastAsia="Times New Roman" w:hAnsi="Calibri" w:cs="Calibri"/>
          <w:lang w:eastAsia="fr-FR"/>
        </w:rPr>
        <w:t xml:space="preserve">es connaissances et </w:t>
      </w:r>
      <w:r w:rsidR="00E00232">
        <w:rPr>
          <w:rFonts w:ascii="Calibri" w:eastAsia="Times New Roman" w:hAnsi="Calibri" w:cs="Calibri"/>
          <w:lang w:eastAsia="fr-FR"/>
        </w:rPr>
        <w:t>l</w:t>
      </w:r>
      <w:r w:rsidR="00E00232" w:rsidRPr="00170E42">
        <w:rPr>
          <w:rFonts w:ascii="Calibri" w:eastAsia="Times New Roman" w:hAnsi="Calibri" w:cs="Calibri"/>
          <w:lang w:eastAsia="fr-FR"/>
        </w:rPr>
        <w:t xml:space="preserve">es compétences financières des migrants </w:t>
      </w:r>
      <w:r w:rsidR="00043689">
        <w:rPr>
          <w:rFonts w:ascii="Calibri" w:eastAsia="Times New Roman" w:hAnsi="Calibri" w:cs="Calibri"/>
          <w:lang w:eastAsia="fr-FR"/>
        </w:rPr>
        <w:t xml:space="preserve">et des migrantes </w:t>
      </w:r>
      <w:r w:rsidR="00C921F3">
        <w:rPr>
          <w:rFonts w:ascii="Calibri" w:eastAsia="Times New Roman" w:hAnsi="Calibri" w:cs="Calibri"/>
          <w:lang w:eastAsia="fr-FR"/>
        </w:rPr>
        <w:t>peut permettre de r</w:t>
      </w:r>
      <w:r w:rsidR="000269EE">
        <w:rPr>
          <w:rFonts w:ascii="Calibri" w:eastAsia="Times New Roman" w:hAnsi="Calibri" w:cs="Calibri"/>
          <w:lang w:eastAsia="fr-FR"/>
        </w:rPr>
        <w:t>e</w:t>
      </w:r>
      <w:r w:rsidR="00C921F3">
        <w:rPr>
          <w:rFonts w:ascii="Calibri" w:eastAsia="Times New Roman" w:hAnsi="Calibri" w:cs="Calibri"/>
          <w:lang w:eastAsia="fr-FR"/>
        </w:rPr>
        <w:t>hausser</w:t>
      </w:r>
      <w:r w:rsidR="00E00232" w:rsidRPr="00170E42">
        <w:rPr>
          <w:rFonts w:ascii="Calibri" w:eastAsia="Times New Roman" w:hAnsi="Calibri" w:cs="Calibri"/>
          <w:lang w:eastAsia="fr-FR"/>
        </w:rPr>
        <w:t xml:space="preserve"> leur confiance dans les services financiers formels </w:t>
      </w:r>
      <w:r w:rsidR="00E00232">
        <w:rPr>
          <w:rFonts w:ascii="Calibri" w:eastAsia="Times New Roman" w:hAnsi="Calibri" w:cs="Calibri"/>
          <w:lang w:eastAsia="fr-FR"/>
        </w:rPr>
        <w:t>(</w:t>
      </w:r>
      <w:r w:rsidR="00E00232" w:rsidRPr="00170E42">
        <w:rPr>
          <w:rFonts w:ascii="Calibri" w:eastAsia="Times New Roman" w:hAnsi="Calibri" w:cs="Calibri"/>
          <w:lang w:eastAsia="fr-FR"/>
        </w:rPr>
        <w:t>si les institutions financières traitent cette clientèle de façon équitable et transparente</w:t>
      </w:r>
      <w:r w:rsidR="00E00232">
        <w:rPr>
          <w:rFonts w:ascii="Calibri" w:eastAsia="Times New Roman" w:hAnsi="Calibri" w:cs="Calibri"/>
          <w:lang w:eastAsia="fr-FR"/>
        </w:rPr>
        <w:t>)</w:t>
      </w:r>
      <w:r w:rsidR="00E00232" w:rsidRPr="00170E42">
        <w:rPr>
          <w:rFonts w:ascii="Calibri" w:eastAsia="Times New Roman" w:hAnsi="Calibri" w:cs="Calibri"/>
          <w:lang w:eastAsia="fr-FR"/>
        </w:rPr>
        <w:t>.</w:t>
      </w:r>
    </w:p>
    <w:p w14:paraId="46E2BD95" w14:textId="77777777" w:rsidR="006B7B67" w:rsidRPr="000545FF" w:rsidRDefault="006B7B67" w:rsidP="006B7B67">
      <w:pPr>
        <w:spacing w:after="0" w:line="240" w:lineRule="auto"/>
        <w:jc w:val="both"/>
        <w:rPr>
          <w:rFonts w:ascii="Calibri" w:eastAsia="Times New Roman" w:hAnsi="Calibri" w:cs="Calibri"/>
          <w:lang w:eastAsia="fr-FR"/>
        </w:rPr>
      </w:pPr>
    </w:p>
    <w:p w14:paraId="79FEA16B" w14:textId="69D30E40" w:rsidR="001273AB" w:rsidRPr="00B30031" w:rsidRDefault="008B4973" w:rsidP="000545FF">
      <w:pPr>
        <w:pStyle w:val="Titre3"/>
        <w:ind w:firstLine="360"/>
        <w:rPr>
          <w:rFonts w:eastAsia="Times New Roman"/>
          <w:lang w:eastAsia="fr-FR"/>
        </w:rPr>
      </w:pPr>
      <w:bookmarkStart w:id="10" w:name="_Toc55391563"/>
      <w:r>
        <w:rPr>
          <w:rFonts w:eastAsia="Times New Roman"/>
          <w:lang w:eastAsia="fr-FR"/>
        </w:rPr>
        <w:t>2.</w:t>
      </w:r>
      <w:r w:rsidR="004F5C02">
        <w:rPr>
          <w:rFonts w:eastAsia="Times New Roman"/>
          <w:lang w:eastAsia="fr-FR"/>
        </w:rPr>
        <w:t>3</w:t>
      </w:r>
      <w:r>
        <w:rPr>
          <w:rFonts w:eastAsia="Times New Roman"/>
          <w:lang w:eastAsia="fr-FR"/>
        </w:rPr>
        <w:t>.</w:t>
      </w:r>
      <w:r w:rsidR="005B6519">
        <w:rPr>
          <w:rFonts w:eastAsia="Times New Roman"/>
          <w:lang w:eastAsia="fr-FR"/>
        </w:rPr>
        <w:t>6</w:t>
      </w:r>
      <w:r w:rsidR="001273AB" w:rsidRPr="00B30031">
        <w:rPr>
          <w:rFonts w:eastAsia="Times New Roman"/>
          <w:lang w:eastAsia="fr-FR"/>
        </w:rPr>
        <w:t xml:space="preserve">. </w:t>
      </w:r>
      <w:r w:rsidR="00424780">
        <w:rPr>
          <w:rFonts w:eastAsia="Times New Roman"/>
          <w:lang w:eastAsia="fr-FR"/>
        </w:rPr>
        <w:t>Encourager la</w:t>
      </w:r>
      <w:r w:rsidR="00477F35">
        <w:rPr>
          <w:rFonts w:eastAsia="Times New Roman"/>
          <w:lang w:eastAsia="fr-FR"/>
        </w:rPr>
        <w:t xml:space="preserve"> participation économique</w:t>
      </w:r>
      <w:r w:rsidR="00424780">
        <w:rPr>
          <w:rFonts w:eastAsia="Times New Roman"/>
          <w:lang w:eastAsia="fr-FR"/>
        </w:rPr>
        <w:t xml:space="preserve"> des migrant</w:t>
      </w:r>
      <w:r w:rsidR="0040512C">
        <w:rPr>
          <w:rFonts w:eastAsia="Times New Roman"/>
          <w:lang w:eastAsia="fr-FR"/>
        </w:rPr>
        <w:t>-e-</w:t>
      </w:r>
      <w:r w:rsidR="00424780">
        <w:rPr>
          <w:rFonts w:eastAsia="Times New Roman"/>
          <w:lang w:eastAsia="fr-FR"/>
        </w:rPr>
        <w:t>s</w:t>
      </w:r>
      <w:bookmarkEnd w:id="10"/>
    </w:p>
    <w:p w14:paraId="388391D7" w14:textId="0F95BB51" w:rsidR="001273AB" w:rsidRDefault="001273AB" w:rsidP="0045537B">
      <w:pPr>
        <w:spacing w:after="0" w:line="240" w:lineRule="auto"/>
        <w:jc w:val="both"/>
        <w:rPr>
          <w:rFonts w:ascii="Calibri" w:eastAsia="Times New Roman" w:hAnsi="Calibri" w:cs="Calibri"/>
          <w:lang w:eastAsia="fr-FR"/>
        </w:rPr>
      </w:pPr>
    </w:p>
    <w:p w14:paraId="280BDA9F" w14:textId="6A1AD36F" w:rsidR="00183481" w:rsidRDefault="002824EC">
      <w:pPr>
        <w:spacing w:after="0" w:line="240" w:lineRule="auto"/>
        <w:jc w:val="both"/>
      </w:pPr>
      <w:r>
        <w:t xml:space="preserve">Chercher à </w:t>
      </w:r>
      <w:r w:rsidR="00C921F3">
        <w:t xml:space="preserve">améliorer </w:t>
      </w:r>
      <w:r>
        <w:t xml:space="preserve">l’inclusion financière des migrants </w:t>
      </w:r>
      <w:r w:rsidR="0040512C">
        <w:t xml:space="preserve">et migrantes </w:t>
      </w:r>
      <w:r>
        <w:t>en travaillant uniquement sur l</w:t>
      </w:r>
      <w:r w:rsidR="00C921F3">
        <w:t xml:space="preserve">’offre de produits </w:t>
      </w:r>
      <w:r>
        <w:t xml:space="preserve">financiers peut être vain si le contexte territorial comporte des facteurs bloquants. Parfois, il s’agit de </w:t>
      </w:r>
      <w:r w:rsidR="00C921F3">
        <w:t>l’</w:t>
      </w:r>
      <w:r>
        <w:t>intégration</w:t>
      </w:r>
      <w:r w:rsidR="00C921F3">
        <w:t xml:space="preserve"> insuffisante</w:t>
      </w:r>
      <w:r>
        <w:t xml:space="preserve"> des migrant</w:t>
      </w:r>
      <w:r w:rsidR="0040512C">
        <w:t>-e-</w:t>
      </w:r>
      <w:r>
        <w:t xml:space="preserve">s dans l’économie </w:t>
      </w:r>
      <w:r w:rsidR="00F177EC">
        <w:t>du territoire d’accueil</w:t>
      </w:r>
      <w:r>
        <w:t>, minant leur capacité à générer des revenus et de devenir bancables.</w:t>
      </w:r>
      <w:r w:rsidR="004273AE" w:rsidRPr="004273AE">
        <w:rPr>
          <w:rFonts w:ascii="Calibri" w:eastAsia="Times New Roman" w:hAnsi="Calibri" w:cs="Calibri"/>
          <w:lang w:eastAsia="fr-FR"/>
        </w:rPr>
        <w:t xml:space="preserve"> </w:t>
      </w:r>
      <w:r w:rsidR="004273AE">
        <w:rPr>
          <w:rFonts w:ascii="Calibri" w:eastAsia="Times New Roman" w:hAnsi="Calibri" w:cs="Calibri"/>
          <w:lang w:eastAsia="fr-FR"/>
        </w:rPr>
        <w:t>L’e</w:t>
      </w:r>
      <w:r w:rsidR="004273AE" w:rsidRPr="0045537B">
        <w:rPr>
          <w:rFonts w:ascii="Calibri" w:eastAsia="Times New Roman" w:hAnsi="Calibri" w:cs="Calibri"/>
          <w:lang w:eastAsia="fr-FR"/>
        </w:rPr>
        <w:t>njeu de l’incl</w:t>
      </w:r>
      <w:r w:rsidR="004273AE">
        <w:rPr>
          <w:rFonts w:ascii="Calibri" w:eastAsia="Times New Roman" w:hAnsi="Calibri" w:cs="Calibri"/>
          <w:lang w:eastAsia="fr-FR"/>
        </w:rPr>
        <w:t>usion au tissu économique local est donc intimement lié à celui de l’inclusion financière.</w:t>
      </w:r>
      <w:r>
        <w:t xml:space="preserve"> </w:t>
      </w:r>
      <w:r w:rsidR="00C921F3">
        <w:t>Ainsi</w:t>
      </w:r>
      <w:r>
        <w:t xml:space="preserve">, </w:t>
      </w:r>
      <w:r w:rsidR="00C921F3">
        <w:t xml:space="preserve">certaines </w:t>
      </w:r>
      <w:r>
        <w:t>ONG prom</w:t>
      </w:r>
      <w:r w:rsidR="00C921F3">
        <w:t>euvent</w:t>
      </w:r>
      <w:r>
        <w:t xml:space="preserve"> l’inclusion financière des migrant</w:t>
      </w:r>
      <w:r w:rsidR="0040512C">
        <w:t>-e-</w:t>
      </w:r>
      <w:r>
        <w:t>s</w:t>
      </w:r>
      <w:r w:rsidR="00C921F3" w:rsidRPr="00C921F3">
        <w:t xml:space="preserve"> </w:t>
      </w:r>
      <w:r w:rsidR="00C921F3">
        <w:t>indirectement</w:t>
      </w:r>
      <w:r>
        <w:t xml:space="preserve"> par</w:t>
      </w:r>
      <w:r w:rsidR="00F177EC">
        <w:t xml:space="preserve"> une offre de</w:t>
      </w:r>
      <w:r>
        <w:t xml:space="preserve"> services non-financiers</w:t>
      </w:r>
      <w:r w:rsidR="004273AE">
        <w:t>, par exemple des mécanismes de soutien à l’entrepreneuriat, des formations professionnelles et linguistiques,</w:t>
      </w:r>
      <w:r w:rsidR="00F177EC">
        <w:t xml:space="preserve"> ou l’établissement</w:t>
      </w:r>
      <w:r w:rsidR="004273AE">
        <w:t xml:space="preserve"> de canaux de recrutement spécifiques établis en collaboration avec les associations professionnelles locales</w:t>
      </w:r>
      <w:r w:rsidR="005B6519">
        <w:t xml:space="preserve">. </w:t>
      </w:r>
      <w:r w:rsidR="0040512C">
        <w:t xml:space="preserve">Là encore, les situations spécifiques des femmes imposent une prise en considération d’une perspective de genre dans l’ensemble des actions. </w:t>
      </w:r>
    </w:p>
    <w:p w14:paraId="222E3ED0" w14:textId="632C8435" w:rsidR="00EE28CB" w:rsidRDefault="00EE28CB">
      <w:pPr>
        <w:spacing w:after="0" w:line="240" w:lineRule="auto"/>
        <w:jc w:val="both"/>
      </w:pPr>
    </w:p>
    <w:p w14:paraId="3DD8CC81" w14:textId="412A563E" w:rsidR="00EE28CB" w:rsidRDefault="00EE28CB">
      <w:pPr>
        <w:spacing w:after="0" w:line="240" w:lineRule="auto"/>
        <w:jc w:val="both"/>
      </w:pPr>
    </w:p>
    <w:p w14:paraId="103B5926" w14:textId="77777777" w:rsidR="00EE28CB" w:rsidRDefault="00EE28CB">
      <w:pPr>
        <w:spacing w:after="0" w:line="240" w:lineRule="auto"/>
        <w:jc w:val="both"/>
      </w:pPr>
    </w:p>
    <w:p w14:paraId="75EDC656" w14:textId="77777777" w:rsidR="00183481" w:rsidRDefault="00183481">
      <w:pPr>
        <w:spacing w:after="0" w:line="240" w:lineRule="auto"/>
        <w:jc w:val="both"/>
      </w:pPr>
    </w:p>
    <w:p w14:paraId="65C78AD1" w14:textId="66F3EA10" w:rsidR="00183481" w:rsidRPr="000545FF" w:rsidRDefault="00183481" w:rsidP="000545FF">
      <w:pPr>
        <w:pStyle w:val="Titre3"/>
        <w:ind w:firstLine="360"/>
        <w:rPr>
          <w:rFonts w:eastAsia="Times New Roman"/>
          <w:lang w:eastAsia="fr-FR"/>
        </w:rPr>
      </w:pPr>
      <w:bookmarkStart w:id="11" w:name="_Toc55391564"/>
      <w:r>
        <w:rPr>
          <w:rFonts w:eastAsia="Times New Roman"/>
          <w:lang w:eastAsia="fr-FR"/>
        </w:rPr>
        <w:lastRenderedPageBreak/>
        <w:t>2.</w:t>
      </w:r>
      <w:r w:rsidR="004F5C02">
        <w:rPr>
          <w:rFonts w:eastAsia="Times New Roman"/>
          <w:lang w:eastAsia="fr-FR"/>
        </w:rPr>
        <w:t>3</w:t>
      </w:r>
      <w:r>
        <w:rPr>
          <w:rFonts w:eastAsia="Times New Roman"/>
          <w:lang w:eastAsia="fr-FR"/>
        </w:rPr>
        <w:t xml:space="preserve">.7 </w:t>
      </w:r>
      <w:r w:rsidRPr="000545FF">
        <w:rPr>
          <w:rFonts w:eastAsia="Times New Roman"/>
          <w:lang w:eastAsia="fr-FR"/>
        </w:rPr>
        <w:t>Faciliter les transferts de fonds</w:t>
      </w:r>
      <w:bookmarkEnd w:id="11"/>
    </w:p>
    <w:p w14:paraId="332567FE" w14:textId="77777777" w:rsidR="00183481" w:rsidRDefault="00183481" w:rsidP="00183481">
      <w:pPr>
        <w:spacing w:after="0" w:line="240" w:lineRule="auto"/>
        <w:jc w:val="both"/>
        <w:rPr>
          <w:lang w:eastAsia="fr-FR"/>
        </w:rPr>
      </w:pPr>
    </w:p>
    <w:p w14:paraId="24B68194" w14:textId="492E1EB8" w:rsidR="004A773A" w:rsidRDefault="00183481" w:rsidP="004A773A">
      <w:pPr>
        <w:spacing w:after="0"/>
        <w:jc w:val="both"/>
        <w:rPr>
          <w:rFonts w:ascii="Calibri" w:eastAsia="Times New Roman" w:hAnsi="Calibri" w:cs="Calibri"/>
          <w:lang w:eastAsia="fr-FR"/>
        </w:rPr>
      </w:pPr>
      <w:r>
        <w:rPr>
          <w:rFonts w:ascii="Calibri" w:eastAsia="Times New Roman" w:hAnsi="Calibri" w:cs="Calibri"/>
          <w:lang w:eastAsia="fr-FR"/>
        </w:rPr>
        <w:t>Les</w:t>
      </w:r>
      <w:r w:rsidRPr="00D852BE">
        <w:rPr>
          <w:rFonts w:ascii="Calibri" w:eastAsia="Times New Roman" w:hAnsi="Calibri" w:cs="Calibri"/>
          <w:lang w:eastAsia="fr-FR"/>
        </w:rPr>
        <w:t xml:space="preserve"> transferts de fonds </w:t>
      </w:r>
      <w:r>
        <w:rPr>
          <w:rFonts w:ascii="Calibri" w:eastAsia="Times New Roman" w:hAnsi="Calibri" w:cs="Calibri"/>
          <w:lang w:eastAsia="fr-FR"/>
        </w:rPr>
        <w:t>sont un vecteur majeur de résilience des ménages et ne cessent de prendre de l’importance</w:t>
      </w:r>
      <w:r w:rsidR="0084204D">
        <w:rPr>
          <w:rStyle w:val="Appelnotedebasdep"/>
          <w:rFonts w:ascii="Calibri" w:eastAsia="Times New Roman" w:hAnsi="Calibri" w:cs="Calibri"/>
          <w:lang w:eastAsia="fr-FR"/>
        </w:rPr>
        <w:footnoteReference w:id="9"/>
      </w:r>
      <w:r>
        <w:rPr>
          <w:rFonts w:ascii="Calibri" w:eastAsia="Times New Roman" w:hAnsi="Calibri" w:cs="Calibri"/>
          <w:lang w:eastAsia="fr-FR"/>
        </w:rPr>
        <w:t xml:space="preserve">. </w:t>
      </w:r>
      <w:r w:rsidR="0084204D">
        <w:rPr>
          <w:rFonts w:ascii="Calibri" w:eastAsia="Times New Roman" w:hAnsi="Calibri" w:cs="Calibri"/>
          <w:lang w:eastAsia="fr-FR"/>
        </w:rPr>
        <w:t xml:space="preserve">L’envoi et la réception de fonds dans des conditions satisfaisantes, des services accessibles (disponibilité des points de vente, coût des transactions) pour des prix abordables est en enjeu important, notamment en zone rurale. </w:t>
      </w:r>
      <w:r>
        <w:rPr>
          <w:rFonts w:ascii="Calibri" w:eastAsia="Times New Roman" w:hAnsi="Calibri" w:cs="Calibri"/>
          <w:lang w:eastAsia="fr-FR"/>
        </w:rPr>
        <w:t xml:space="preserve">De plus, </w:t>
      </w:r>
      <w:r w:rsidR="0084204D">
        <w:rPr>
          <w:rFonts w:ascii="Calibri" w:eastAsia="Times New Roman" w:hAnsi="Calibri" w:cs="Calibri"/>
          <w:lang w:eastAsia="fr-FR"/>
        </w:rPr>
        <w:t xml:space="preserve">ces transferts </w:t>
      </w:r>
      <w:r>
        <w:rPr>
          <w:rFonts w:ascii="Calibri" w:eastAsia="Times New Roman" w:hAnsi="Calibri" w:cs="Calibri"/>
          <w:lang w:eastAsia="fr-FR"/>
        </w:rPr>
        <w:t xml:space="preserve">permettent aux expéditeurs </w:t>
      </w:r>
      <w:r w:rsidR="0040512C">
        <w:rPr>
          <w:rFonts w:ascii="Calibri" w:eastAsia="Times New Roman" w:hAnsi="Calibri" w:cs="Calibri"/>
          <w:lang w:eastAsia="fr-FR"/>
        </w:rPr>
        <w:t>et expéditrices, ainsi qu’</w:t>
      </w:r>
      <w:r>
        <w:rPr>
          <w:rFonts w:ascii="Calibri" w:eastAsia="Times New Roman" w:hAnsi="Calibri" w:cs="Calibri"/>
          <w:lang w:eastAsia="fr-FR"/>
        </w:rPr>
        <w:t xml:space="preserve">aux destinataires de ces envois de se familiariser avec les systèmes financiers car ils </w:t>
      </w:r>
      <w:r w:rsidR="0040512C">
        <w:rPr>
          <w:rFonts w:ascii="Calibri" w:eastAsia="Times New Roman" w:hAnsi="Calibri" w:cs="Calibri"/>
          <w:lang w:eastAsia="fr-FR"/>
        </w:rPr>
        <w:t xml:space="preserve">et elles </w:t>
      </w:r>
      <w:r>
        <w:rPr>
          <w:rFonts w:ascii="Calibri" w:eastAsia="Times New Roman" w:hAnsi="Calibri" w:cs="Calibri"/>
          <w:lang w:eastAsia="fr-FR"/>
        </w:rPr>
        <w:t xml:space="preserve">ont une plus grande propension à posséder un compte bancaire </w:t>
      </w:r>
      <w:r w:rsidR="004A773A">
        <w:rPr>
          <w:rFonts w:ascii="Calibri" w:eastAsia="Times New Roman" w:hAnsi="Calibri" w:cs="Calibri"/>
          <w:lang w:eastAsia="fr-FR"/>
        </w:rPr>
        <w:t>facilitant in fine</w:t>
      </w:r>
      <w:r>
        <w:rPr>
          <w:rFonts w:ascii="Calibri" w:eastAsia="Times New Roman" w:hAnsi="Calibri" w:cs="Calibri"/>
          <w:lang w:eastAsia="fr-FR"/>
        </w:rPr>
        <w:t xml:space="preserve"> leur accès à d’autres services financiers</w:t>
      </w:r>
      <w:r>
        <w:rPr>
          <w:rStyle w:val="Appelnotedebasdep"/>
          <w:rFonts w:ascii="Calibri" w:eastAsia="Times New Roman" w:hAnsi="Calibri" w:cs="Calibri"/>
          <w:lang w:eastAsia="fr-FR"/>
        </w:rPr>
        <w:footnoteReference w:id="10"/>
      </w:r>
      <w:r>
        <w:rPr>
          <w:rFonts w:ascii="Calibri" w:eastAsia="Times New Roman" w:hAnsi="Calibri" w:cs="Calibri"/>
          <w:lang w:eastAsia="fr-FR"/>
        </w:rPr>
        <w:t xml:space="preserve">. </w:t>
      </w:r>
      <w:r w:rsidR="004A773A">
        <w:rPr>
          <w:rFonts w:ascii="Calibri" w:eastAsia="Times New Roman" w:hAnsi="Calibri" w:cs="Calibri"/>
          <w:lang w:eastAsia="fr-FR"/>
        </w:rPr>
        <w:t>Les transferts de fonds humanitaires comme le CVA (</w:t>
      </w:r>
      <w:r w:rsidR="004A773A" w:rsidRPr="000269EE">
        <w:rPr>
          <w:rFonts w:ascii="Calibri" w:eastAsia="Times New Roman" w:hAnsi="Calibri" w:cs="Calibri"/>
          <w:i/>
          <w:lang w:eastAsia="fr-FR"/>
        </w:rPr>
        <w:t>Cash and Voucher Assistance</w:t>
      </w:r>
      <w:r w:rsidR="004A773A">
        <w:rPr>
          <w:rFonts w:ascii="Calibri" w:eastAsia="Times New Roman" w:hAnsi="Calibri" w:cs="Calibri"/>
          <w:lang w:eastAsia="fr-FR"/>
        </w:rPr>
        <w:t>) ne relèvent pas directement de l’inclusion financière, mais certains acteurs ont amorcé une réfle</w:t>
      </w:r>
      <w:r w:rsidR="004A773A" w:rsidRPr="00BD059D">
        <w:rPr>
          <w:rFonts w:ascii="Calibri" w:eastAsia="Times New Roman" w:hAnsi="Calibri" w:cs="Calibri"/>
          <w:lang w:eastAsia="fr-FR"/>
        </w:rPr>
        <w:t xml:space="preserve">xion sur la possibilité de </w:t>
      </w:r>
      <w:r w:rsidR="004A773A" w:rsidRPr="00031E35">
        <w:rPr>
          <w:rFonts w:ascii="Calibri" w:eastAsia="Times New Roman" w:hAnsi="Calibri" w:cs="Calibri"/>
          <w:lang w:eastAsia="fr-FR"/>
        </w:rPr>
        <w:t xml:space="preserve">s’appuyer sur </w:t>
      </w:r>
      <w:r w:rsidR="004A773A">
        <w:rPr>
          <w:rFonts w:ascii="Calibri" w:eastAsia="Times New Roman" w:hAnsi="Calibri" w:cs="Calibri"/>
          <w:lang w:eastAsia="fr-FR"/>
        </w:rPr>
        <w:t>ceux-ci, notamment dans leur forme numérique,</w:t>
      </w:r>
      <w:r w:rsidR="004A773A" w:rsidRPr="00031E35">
        <w:rPr>
          <w:rFonts w:ascii="Calibri" w:eastAsia="Times New Roman" w:hAnsi="Calibri" w:cs="Calibri"/>
          <w:lang w:eastAsia="fr-FR"/>
        </w:rPr>
        <w:t xml:space="preserve"> pour promouvoir l</w:t>
      </w:r>
      <w:r w:rsidR="004A773A" w:rsidRPr="00031E35">
        <w:rPr>
          <w:rFonts w:ascii="Calibri" w:eastAsia="Times New Roman" w:hAnsi="Calibri" w:cs="Calibri"/>
          <w:bCs/>
          <w:lang w:eastAsia="fr-FR"/>
        </w:rPr>
        <w:t>'inclusion financière</w:t>
      </w:r>
      <w:r w:rsidR="004A773A">
        <w:rPr>
          <w:rFonts w:ascii="Calibri" w:eastAsia="Times New Roman" w:hAnsi="Calibri" w:cs="Calibri"/>
          <w:bCs/>
          <w:lang w:eastAsia="fr-FR"/>
        </w:rPr>
        <w:t>, renforçant ainsi</w:t>
      </w:r>
      <w:r w:rsidR="004A773A" w:rsidRPr="00031E35">
        <w:rPr>
          <w:rFonts w:ascii="Calibri" w:eastAsia="Times New Roman" w:hAnsi="Calibri" w:cs="Calibri"/>
          <w:bCs/>
          <w:lang w:eastAsia="fr-FR"/>
        </w:rPr>
        <w:t xml:space="preserve"> la résilience financière de long terme</w:t>
      </w:r>
      <w:r w:rsidR="004A773A">
        <w:rPr>
          <w:rFonts w:ascii="Calibri" w:eastAsia="Times New Roman" w:hAnsi="Calibri" w:cs="Calibri"/>
          <w:bCs/>
          <w:lang w:eastAsia="fr-FR"/>
        </w:rPr>
        <w:t xml:space="preserve"> des bénéficiaires</w:t>
      </w:r>
      <w:r w:rsidR="004A773A" w:rsidRPr="00031E35">
        <w:rPr>
          <w:rFonts w:ascii="Calibri" w:eastAsia="Times New Roman" w:hAnsi="Calibri" w:cs="Calibri"/>
          <w:lang w:eastAsia="fr-FR"/>
        </w:rPr>
        <w:t>.</w:t>
      </w:r>
      <w:r w:rsidR="004A773A">
        <w:rPr>
          <w:rFonts w:ascii="Calibri" w:eastAsia="Times New Roman" w:hAnsi="Calibri" w:cs="Calibri"/>
          <w:lang w:eastAsia="fr-FR"/>
        </w:rPr>
        <w:t xml:space="preserve"> Cependant, une difficulté majeure demeure : l</w:t>
      </w:r>
      <w:r w:rsidR="004A773A" w:rsidRPr="00D852BE">
        <w:rPr>
          <w:rFonts w:ascii="Calibri" w:eastAsia="Times New Roman" w:hAnsi="Calibri" w:cs="Calibri"/>
          <w:lang w:eastAsia="fr-FR"/>
        </w:rPr>
        <w:t xml:space="preserve">es bénéficiaires de la CVA </w:t>
      </w:r>
      <w:r w:rsidR="004A773A">
        <w:rPr>
          <w:rFonts w:ascii="Calibri" w:eastAsia="Times New Roman" w:hAnsi="Calibri" w:cs="Calibri"/>
          <w:lang w:eastAsia="fr-FR"/>
        </w:rPr>
        <w:t>ne disposent</w:t>
      </w:r>
      <w:r w:rsidR="004A773A" w:rsidRPr="00D852BE">
        <w:rPr>
          <w:rFonts w:ascii="Calibri" w:eastAsia="Times New Roman" w:hAnsi="Calibri" w:cs="Calibri"/>
          <w:lang w:eastAsia="fr-FR"/>
        </w:rPr>
        <w:t xml:space="preserve"> souvent pas de comptes financiers ou de comptes à leur nom</w:t>
      </w:r>
      <w:r w:rsidR="004A773A">
        <w:rPr>
          <w:rStyle w:val="Appelnotedebasdep"/>
          <w:rFonts w:ascii="Calibri" w:eastAsia="Times New Roman" w:hAnsi="Calibri" w:cs="Calibri"/>
          <w:lang w:eastAsia="fr-FR"/>
        </w:rPr>
        <w:footnoteReference w:id="11"/>
      </w:r>
      <w:r w:rsidR="004A773A" w:rsidRPr="00D852BE">
        <w:rPr>
          <w:rFonts w:ascii="Calibri" w:eastAsia="Times New Roman" w:hAnsi="Calibri" w:cs="Calibri"/>
          <w:lang w:eastAsia="fr-FR"/>
        </w:rPr>
        <w:t xml:space="preserve">. </w:t>
      </w:r>
      <w:r w:rsidR="004A773A">
        <w:rPr>
          <w:rFonts w:ascii="Calibri" w:eastAsia="Times New Roman" w:hAnsi="Calibri" w:cs="Calibri"/>
          <w:lang w:eastAsia="fr-FR"/>
        </w:rPr>
        <w:t>En outre, la protection des données des réfugié</w:t>
      </w:r>
      <w:r w:rsidR="0040512C">
        <w:rPr>
          <w:rFonts w:ascii="Calibri" w:eastAsia="Times New Roman" w:hAnsi="Calibri" w:cs="Calibri"/>
          <w:lang w:eastAsia="fr-FR"/>
        </w:rPr>
        <w:t>-e-</w:t>
      </w:r>
      <w:r w:rsidR="004A773A">
        <w:rPr>
          <w:rFonts w:ascii="Calibri" w:eastAsia="Times New Roman" w:hAnsi="Calibri" w:cs="Calibri"/>
          <w:lang w:eastAsia="fr-FR"/>
        </w:rPr>
        <w:t>s doit être garantie.</w:t>
      </w:r>
      <w:r w:rsidR="004A773A" w:rsidRPr="008B4973" w:rsidDel="00BB235C">
        <w:rPr>
          <w:rFonts w:ascii="Calibri" w:eastAsia="Times New Roman" w:hAnsi="Calibri" w:cs="Calibri"/>
          <w:lang w:eastAsia="fr-FR"/>
        </w:rPr>
        <w:t xml:space="preserve"> </w:t>
      </w:r>
    </w:p>
    <w:p w14:paraId="3D133C9D" w14:textId="2E419323" w:rsidR="00183481" w:rsidRDefault="00183481" w:rsidP="00183481">
      <w:pPr>
        <w:spacing w:after="0" w:line="240" w:lineRule="auto"/>
        <w:jc w:val="both"/>
        <w:rPr>
          <w:rFonts w:ascii="Calibri" w:eastAsia="Times New Roman" w:hAnsi="Calibri" w:cs="Calibri"/>
          <w:lang w:eastAsia="fr-FR"/>
        </w:rPr>
      </w:pPr>
    </w:p>
    <w:p w14:paraId="74271A64" w14:textId="77777777" w:rsidR="00EE28CB" w:rsidRDefault="0016109A" w:rsidP="0016109A">
      <w:pPr>
        <w:spacing w:after="0" w:line="240" w:lineRule="auto"/>
        <w:jc w:val="both"/>
        <w:textAlignment w:val="center"/>
      </w:pPr>
      <w:r>
        <w:rPr>
          <w:rFonts w:ascii="Calibri" w:eastAsia="Times New Roman" w:hAnsi="Calibri" w:cs="Calibri"/>
          <w:lang w:eastAsia="fr-FR"/>
        </w:rPr>
        <w:t>Cet aperçu non exhaustif permet ainsi d’esquisser la manière dont différents acteurs tentent d’innover pour apporter des réponses aux défis de l’inclusion financière des migrant</w:t>
      </w:r>
      <w:r w:rsidR="0040512C">
        <w:rPr>
          <w:rFonts w:ascii="Calibri" w:eastAsia="Times New Roman" w:hAnsi="Calibri" w:cs="Calibri"/>
          <w:lang w:eastAsia="fr-FR"/>
        </w:rPr>
        <w:t>-e-</w:t>
      </w:r>
      <w:r>
        <w:rPr>
          <w:rFonts w:ascii="Calibri" w:eastAsia="Times New Roman" w:hAnsi="Calibri" w:cs="Calibri"/>
          <w:lang w:eastAsia="fr-FR"/>
        </w:rPr>
        <w:t>s.</w:t>
      </w:r>
      <w:r>
        <w:rPr>
          <w:rFonts w:ascii="Calibri" w:eastAsia="Times New Roman" w:hAnsi="Calibri" w:cs="Calibri"/>
          <w:bCs/>
          <w:lang w:eastAsia="fr-FR"/>
        </w:rPr>
        <w:t xml:space="preserve"> </w:t>
      </w:r>
      <w:r w:rsidR="00984671">
        <w:rPr>
          <w:rFonts w:ascii="Calibri" w:eastAsia="Times New Roman" w:hAnsi="Calibri" w:cs="Calibri"/>
          <w:bCs/>
          <w:lang w:eastAsia="fr-FR"/>
        </w:rPr>
        <w:t>Il en ressort que les</w:t>
      </w:r>
      <w:r>
        <w:rPr>
          <w:rFonts w:ascii="Calibri" w:eastAsia="Times New Roman" w:hAnsi="Calibri" w:cs="Calibri"/>
          <w:bCs/>
          <w:lang w:eastAsia="fr-FR"/>
        </w:rPr>
        <w:t xml:space="preserve"> migrant</w:t>
      </w:r>
      <w:r w:rsidR="0040512C">
        <w:rPr>
          <w:rFonts w:ascii="Calibri" w:eastAsia="Times New Roman" w:hAnsi="Calibri" w:cs="Calibri"/>
          <w:bCs/>
          <w:lang w:eastAsia="fr-FR"/>
        </w:rPr>
        <w:t>-e-</w:t>
      </w:r>
      <w:r>
        <w:rPr>
          <w:rFonts w:ascii="Calibri" w:eastAsia="Times New Roman" w:hAnsi="Calibri" w:cs="Calibri"/>
          <w:bCs/>
          <w:lang w:eastAsia="fr-FR"/>
        </w:rPr>
        <w:t>s</w:t>
      </w:r>
      <w:r w:rsidRPr="00E51882">
        <w:rPr>
          <w:rFonts w:ascii="Calibri" w:eastAsia="Times New Roman" w:hAnsi="Calibri" w:cs="Calibri"/>
          <w:bCs/>
          <w:lang w:eastAsia="fr-FR"/>
        </w:rPr>
        <w:t xml:space="preserve"> </w:t>
      </w:r>
      <w:r>
        <w:rPr>
          <w:rFonts w:ascii="Calibri" w:eastAsia="Times New Roman" w:hAnsi="Calibri" w:cs="Calibri"/>
          <w:bCs/>
          <w:lang w:eastAsia="fr-FR"/>
        </w:rPr>
        <w:t>n’ont pas nécessairement besoin</w:t>
      </w:r>
      <w:r w:rsidRPr="00E51882">
        <w:rPr>
          <w:rFonts w:ascii="Calibri" w:eastAsia="Times New Roman" w:hAnsi="Calibri" w:cs="Calibri"/>
          <w:bCs/>
          <w:lang w:eastAsia="fr-FR"/>
        </w:rPr>
        <w:t xml:space="preserve"> de types de services financiers différents </w:t>
      </w:r>
      <w:r>
        <w:rPr>
          <w:rFonts w:ascii="Calibri" w:eastAsia="Times New Roman" w:hAnsi="Calibri" w:cs="Calibri"/>
          <w:bCs/>
          <w:lang w:eastAsia="fr-FR"/>
        </w:rPr>
        <w:t>du reste de la population. S</w:t>
      </w:r>
      <w:r w:rsidRPr="00E51882">
        <w:rPr>
          <w:rFonts w:ascii="Calibri" w:eastAsia="Times New Roman" w:hAnsi="Calibri" w:cs="Calibri"/>
          <w:bCs/>
          <w:lang w:eastAsia="fr-FR"/>
        </w:rPr>
        <w:t xml:space="preserve">elon les phases du parcours migratoire, </w:t>
      </w:r>
      <w:r>
        <w:rPr>
          <w:rFonts w:ascii="Calibri" w:eastAsia="Times New Roman" w:hAnsi="Calibri" w:cs="Calibri"/>
          <w:bCs/>
          <w:lang w:eastAsia="fr-FR"/>
        </w:rPr>
        <w:t xml:space="preserve">les besoins se dirigent vers les </w:t>
      </w:r>
      <w:r w:rsidRPr="00E51882">
        <w:rPr>
          <w:rFonts w:ascii="Calibri" w:eastAsia="Times New Roman" w:hAnsi="Calibri" w:cs="Calibri"/>
          <w:bCs/>
          <w:lang w:eastAsia="fr-FR"/>
        </w:rPr>
        <w:t xml:space="preserve">mêmes </w:t>
      </w:r>
      <w:r>
        <w:rPr>
          <w:rFonts w:ascii="Calibri" w:eastAsia="Times New Roman" w:hAnsi="Calibri" w:cs="Calibri"/>
          <w:bCs/>
          <w:lang w:eastAsia="fr-FR"/>
        </w:rPr>
        <w:t xml:space="preserve">catégories de </w:t>
      </w:r>
      <w:r w:rsidRPr="00E51882">
        <w:rPr>
          <w:rFonts w:ascii="Calibri" w:eastAsia="Times New Roman" w:hAnsi="Calibri" w:cs="Calibri"/>
          <w:bCs/>
          <w:lang w:eastAsia="fr-FR"/>
        </w:rPr>
        <w:t xml:space="preserve">produits : transferts, paiement, </w:t>
      </w:r>
      <w:r>
        <w:rPr>
          <w:rFonts w:ascii="Calibri" w:eastAsia="Times New Roman" w:hAnsi="Calibri" w:cs="Calibri"/>
          <w:bCs/>
          <w:lang w:eastAsia="fr-FR"/>
        </w:rPr>
        <w:t>épargne, crédit voire de l’assurance. Les innovations nécessaires pour répondre au défi de l’inclusion financière des migrant</w:t>
      </w:r>
      <w:r w:rsidR="0040512C">
        <w:rPr>
          <w:rFonts w:ascii="Calibri" w:eastAsia="Times New Roman" w:hAnsi="Calibri" w:cs="Calibri"/>
          <w:bCs/>
          <w:lang w:eastAsia="fr-FR"/>
        </w:rPr>
        <w:t>-e-</w:t>
      </w:r>
      <w:r>
        <w:rPr>
          <w:rFonts w:ascii="Calibri" w:eastAsia="Times New Roman" w:hAnsi="Calibri" w:cs="Calibri"/>
          <w:bCs/>
          <w:lang w:eastAsia="fr-FR"/>
        </w:rPr>
        <w:t>s dépend</w:t>
      </w:r>
      <w:r w:rsidR="0048703E">
        <w:rPr>
          <w:rFonts w:ascii="Calibri" w:eastAsia="Times New Roman" w:hAnsi="Calibri" w:cs="Calibri"/>
          <w:bCs/>
          <w:lang w:eastAsia="fr-FR"/>
        </w:rPr>
        <w:t>ent</w:t>
      </w:r>
      <w:r>
        <w:rPr>
          <w:rFonts w:ascii="Calibri" w:eastAsia="Times New Roman" w:hAnsi="Calibri" w:cs="Calibri"/>
          <w:bCs/>
          <w:lang w:eastAsia="fr-FR"/>
        </w:rPr>
        <w:t xml:space="preserve"> plutôt de l’</w:t>
      </w:r>
      <w:r w:rsidRPr="00E51882">
        <w:rPr>
          <w:rFonts w:ascii="Calibri" w:eastAsia="Times New Roman" w:hAnsi="Calibri" w:cs="Calibri"/>
          <w:bCs/>
          <w:lang w:eastAsia="fr-FR"/>
        </w:rPr>
        <w:t xml:space="preserve">approche </w:t>
      </w:r>
      <w:r>
        <w:rPr>
          <w:rFonts w:ascii="Calibri" w:eastAsia="Times New Roman" w:hAnsi="Calibri" w:cs="Calibri"/>
          <w:bCs/>
          <w:lang w:eastAsia="fr-FR"/>
        </w:rPr>
        <w:t>adoptée pour adapter les conditions d’accès aux produits et services financiers</w:t>
      </w:r>
      <w:r w:rsidRPr="00E51882">
        <w:rPr>
          <w:rFonts w:ascii="Calibri" w:eastAsia="Times New Roman" w:hAnsi="Calibri" w:cs="Calibri"/>
          <w:bCs/>
          <w:lang w:eastAsia="fr-FR"/>
        </w:rPr>
        <w:t xml:space="preserve"> à leurs </w:t>
      </w:r>
      <w:r>
        <w:rPr>
          <w:rFonts w:ascii="Calibri" w:eastAsia="Times New Roman" w:hAnsi="Calibri" w:cs="Calibri"/>
          <w:bCs/>
          <w:lang w:eastAsia="fr-FR"/>
        </w:rPr>
        <w:t xml:space="preserve">contraintes et caractéristiques (activités d’appui non-financier connexes, partenariats innovants). </w:t>
      </w:r>
      <w:r>
        <w:rPr>
          <w:rFonts w:ascii="Calibri" w:eastAsia="Times New Roman" w:hAnsi="Calibri" w:cs="Calibri"/>
          <w:lang w:eastAsia="fr-FR"/>
        </w:rPr>
        <w:t xml:space="preserve">Enfin, le caractère innovant du projet peut également reposer sur la zone géographique ciblée </w:t>
      </w:r>
      <w:r w:rsidR="0048703E">
        <w:rPr>
          <w:rFonts w:ascii="Calibri" w:eastAsia="Times New Roman" w:hAnsi="Calibri" w:cs="Calibri"/>
          <w:lang w:eastAsia="fr-FR"/>
        </w:rPr>
        <w:t>si celle-ci n’a jusqu’alors pas fait l’objet de</w:t>
      </w:r>
      <w:r>
        <w:rPr>
          <w:rFonts w:ascii="Calibri" w:eastAsia="Times New Roman" w:hAnsi="Calibri" w:cs="Calibri"/>
          <w:lang w:eastAsia="fr-FR"/>
        </w:rPr>
        <w:t xml:space="preserve"> projets d’inclusion financière des migrant</w:t>
      </w:r>
      <w:r w:rsidR="0040512C">
        <w:rPr>
          <w:rFonts w:ascii="Calibri" w:eastAsia="Times New Roman" w:hAnsi="Calibri" w:cs="Calibri"/>
          <w:lang w:eastAsia="fr-FR"/>
        </w:rPr>
        <w:t>-e-</w:t>
      </w:r>
      <w:r>
        <w:rPr>
          <w:rFonts w:ascii="Calibri" w:eastAsia="Times New Roman" w:hAnsi="Calibri" w:cs="Calibri"/>
          <w:lang w:eastAsia="fr-FR"/>
        </w:rPr>
        <w:t>s</w:t>
      </w:r>
      <w:r w:rsidR="0048703E">
        <w:rPr>
          <w:rFonts w:ascii="Calibri" w:eastAsia="Times New Roman" w:hAnsi="Calibri" w:cs="Calibri"/>
          <w:lang w:eastAsia="fr-FR"/>
        </w:rPr>
        <w:t>,</w:t>
      </w:r>
      <w:r>
        <w:rPr>
          <w:rFonts w:ascii="Calibri" w:eastAsia="Times New Roman" w:hAnsi="Calibri" w:cs="Calibri"/>
          <w:lang w:eastAsia="fr-FR"/>
        </w:rPr>
        <w:t xml:space="preserve"> </w:t>
      </w:r>
      <w:r w:rsidR="0048703E">
        <w:rPr>
          <w:rFonts w:ascii="Calibri" w:eastAsia="Times New Roman" w:hAnsi="Calibri" w:cs="Calibri"/>
          <w:lang w:eastAsia="fr-FR"/>
        </w:rPr>
        <w:t xml:space="preserve">sur le </w:t>
      </w:r>
      <w:r>
        <w:rPr>
          <w:rFonts w:ascii="Calibri" w:eastAsia="Times New Roman" w:hAnsi="Calibri" w:cs="Calibri"/>
          <w:lang w:eastAsia="fr-FR"/>
        </w:rPr>
        <w:t>degré d’inclusion financière proposé et donc au type de besoins auxquels le projet répond</w:t>
      </w:r>
      <w:r w:rsidR="0048703E">
        <w:rPr>
          <w:rFonts w:ascii="Calibri" w:eastAsia="Times New Roman" w:hAnsi="Calibri" w:cs="Calibri"/>
          <w:lang w:eastAsia="fr-FR"/>
        </w:rPr>
        <w:t>,</w:t>
      </w:r>
      <w:r>
        <w:t> </w:t>
      </w:r>
      <w:r w:rsidR="0048703E">
        <w:t>ou</w:t>
      </w:r>
      <w:r>
        <w:t xml:space="preserve"> la diversité de services financiers proposés aux bénéficiaires. </w:t>
      </w:r>
      <w:r w:rsidR="00984671">
        <w:t xml:space="preserve">Il est possible d’aller plus loin que les initiatives existantes sur certains sujets frontières comme celui </w:t>
      </w:r>
      <w:r w:rsidR="00141887">
        <w:t>de la sécurisation du transport de</w:t>
      </w:r>
      <w:r w:rsidR="00984671">
        <w:t xml:space="preserve"> documents, notamment </w:t>
      </w:r>
      <w:r w:rsidR="00141887">
        <w:t xml:space="preserve">des </w:t>
      </w:r>
      <w:r w:rsidR="00984671">
        <w:t>pièces d’identité</w:t>
      </w:r>
      <w:r w:rsidR="00141887">
        <w:t xml:space="preserve">, titres fonciers, etc. </w:t>
      </w:r>
      <w:r w:rsidR="00984671">
        <w:t>et de services financiers transfrontaliers.</w:t>
      </w:r>
    </w:p>
    <w:p w14:paraId="12822A31" w14:textId="77777777" w:rsidR="00EE28CB" w:rsidRDefault="00EE28CB" w:rsidP="0016109A">
      <w:pPr>
        <w:spacing w:after="0" w:line="240" w:lineRule="auto"/>
        <w:jc w:val="both"/>
        <w:textAlignment w:val="center"/>
      </w:pPr>
    </w:p>
    <w:p w14:paraId="3D0C1359" w14:textId="3E1895EE" w:rsidR="00EE28CB" w:rsidRPr="000545FF" w:rsidRDefault="00EE28CB" w:rsidP="00EE28CB">
      <w:pPr>
        <w:pStyle w:val="Titre3"/>
        <w:ind w:firstLine="360"/>
        <w:rPr>
          <w:rFonts w:eastAsia="Times New Roman"/>
          <w:lang w:eastAsia="fr-FR"/>
        </w:rPr>
      </w:pPr>
      <w:bookmarkStart w:id="12" w:name="_Toc55391565"/>
      <w:r>
        <w:rPr>
          <w:rFonts w:eastAsia="Times New Roman"/>
          <w:lang w:eastAsia="fr-FR"/>
        </w:rPr>
        <w:t>2.3.8 Favoriser l’inclusion financière des migrantes</w:t>
      </w:r>
      <w:bookmarkEnd w:id="12"/>
    </w:p>
    <w:p w14:paraId="3D6A1A4E" w14:textId="17265FBA" w:rsidR="0016109A" w:rsidRDefault="0016109A" w:rsidP="0016109A">
      <w:pPr>
        <w:spacing w:after="0" w:line="240" w:lineRule="auto"/>
        <w:jc w:val="both"/>
        <w:textAlignment w:val="center"/>
        <w:rPr>
          <w:rFonts w:ascii="Calibri" w:eastAsia="Times New Roman" w:hAnsi="Calibri" w:cs="Calibri"/>
          <w:bCs/>
          <w:lang w:eastAsia="fr-FR"/>
        </w:rPr>
      </w:pPr>
    </w:p>
    <w:p w14:paraId="3633191E" w14:textId="7C0B60E1" w:rsidR="00EE28CB" w:rsidRPr="00EE28CB" w:rsidRDefault="00EE28CB" w:rsidP="0016109A">
      <w:pPr>
        <w:spacing w:after="0" w:line="240" w:lineRule="auto"/>
        <w:jc w:val="both"/>
        <w:textAlignment w:val="center"/>
        <w:rPr>
          <w:rFonts w:ascii="Calibri" w:eastAsia="Times New Roman" w:hAnsi="Calibri" w:cs="Calibri"/>
          <w:bCs/>
          <w:lang w:eastAsia="fr-FR"/>
        </w:rPr>
      </w:pPr>
      <w:r>
        <w:rPr>
          <w:rFonts w:ascii="Calibri" w:eastAsia="Times New Roman" w:hAnsi="Calibri" w:cs="Calibri"/>
          <w:bCs/>
          <w:lang w:eastAsia="fr-FR"/>
        </w:rPr>
        <w:t xml:space="preserve">Contrairement aux initiatives que l’on peut observer dans le champ plus large de l’inclusion financière afin de réduire les écarts entre femmes et hommes dans l’accès à des services financiers adaptés, il semble qu’à ce jour, peu de programmes </w:t>
      </w:r>
      <w:r w:rsidR="003F226A">
        <w:rPr>
          <w:rFonts w:ascii="Calibri" w:eastAsia="Times New Roman" w:hAnsi="Calibri" w:cs="Calibri"/>
          <w:bCs/>
          <w:lang w:eastAsia="fr-FR"/>
        </w:rPr>
        <w:t>ciblant spéc</w:t>
      </w:r>
      <w:r w:rsidR="0085489B">
        <w:rPr>
          <w:rFonts w:ascii="Calibri" w:eastAsia="Times New Roman" w:hAnsi="Calibri" w:cs="Calibri"/>
          <w:bCs/>
          <w:lang w:eastAsia="fr-FR"/>
        </w:rPr>
        <w:t>ifiq</w:t>
      </w:r>
      <w:r w:rsidR="003F226A">
        <w:rPr>
          <w:rFonts w:ascii="Calibri" w:eastAsia="Times New Roman" w:hAnsi="Calibri" w:cs="Calibri"/>
          <w:bCs/>
          <w:lang w:eastAsia="fr-FR"/>
        </w:rPr>
        <w:t>uement</w:t>
      </w:r>
      <w:r>
        <w:rPr>
          <w:rFonts w:ascii="Calibri" w:eastAsia="Times New Roman" w:hAnsi="Calibri" w:cs="Calibri"/>
          <w:bCs/>
          <w:lang w:eastAsia="fr-FR"/>
        </w:rPr>
        <w:t xml:space="preserve"> l’inclusion financière des migrantes </w:t>
      </w:r>
      <w:r w:rsidR="00C51ADA">
        <w:rPr>
          <w:rFonts w:ascii="Calibri" w:eastAsia="Times New Roman" w:hAnsi="Calibri" w:cs="Calibri"/>
          <w:bCs/>
          <w:lang w:eastAsia="fr-FR"/>
        </w:rPr>
        <w:t>aient</w:t>
      </w:r>
      <w:r>
        <w:rPr>
          <w:rFonts w:ascii="Calibri" w:eastAsia="Times New Roman" w:hAnsi="Calibri" w:cs="Calibri"/>
          <w:bCs/>
          <w:lang w:eastAsia="fr-FR"/>
        </w:rPr>
        <w:t xml:space="preserve"> été élaborés</w:t>
      </w:r>
      <w:r w:rsidR="003F226A">
        <w:rPr>
          <w:rFonts w:ascii="Calibri" w:eastAsia="Times New Roman" w:hAnsi="Calibri" w:cs="Calibri"/>
          <w:bCs/>
          <w:lang w:eastAsia="fr-FR"/>
        </w:rPr>
        <w:t>.</w:t>
      </w:r>
    </w:p>
    <w:p w14:paraId="6E0DC70B" w14:textId="4987C613" w:rsidR="002824EC" w:rsidRPr="004273AE" w:rsidRDefault="002824EC">
      <w:pPr>
        <w:spacing w:after="0" w:line="240" w:lineRule="auto"/>
        <w:jc w:val="both"/>
      </w:pPr>
    </w:p>
    <w:p w14:paraId="19B5C701" w14:textId="00EE52F7" w:rsidR="000608B0" w:rsidRPr="000545FF" w:rsidRDefault="000608B0" w:rsidP="000545FF">
      <w:pPr>
        <w:pStyle w:val="Titre2"/>
      </w:pPr>
      <w:bookmarkStart w:id="13" w:name="_Toc55391566"/>
      <w:r>
        <w:rPr>
          <w:lang w:eastAsia="fr-FR"/>
        </w:rPr>
        <w:t>2.</w:t>
      </w:r>
      <w:r w:rsidR="004F5C02">
        <w:rPr>
          <w:lang w:eastAsia="fr-FR"/>
        </w:rPr>
        <w:t>4</w:t>
      </w:r>
      <w:r>
        <w:rPr>
          <w:lang w:eastAsia="fr-FR"/>
        </w:rPr>
        <w:t>. L’intervention de l’AFD en appui à l’inclusion financière</w:t>
      </w:r>
      <w:bookmarkEnd w:id="13"/>
    </w:p>
    <w:p w14:paraId="29291361" w14:textId="52BF4201" w:rsidR="004A773A" w:rsidRDefault="004A773A" w:rsidP="000608B0">
      <w:pPr>
        <w:pStyle w:val="NormalWeb"/>
        <w:spacing w:before="0" w:beforeAutospacing="0" w:after="0" w:afterAutospacing="0"/>
        <w:jc w:val="both"/>
        <w:rPr>
          <w:rFonts w:ascii="Calibri" w:hAnsi="Calibri" w:cs="Calibri"/>
          <w:b/>
          <w:sz w:val="22"/>
          <w:szCs w:val="22"/>
        </w:rPr>
      </w:pPr>
    </w:p>
    <w:p w14:paraId="6DA04116" w14:textId="3BA881E0" w:rsidR="000608B0" w:rsidRDefault="000608B0" w:rsidP="000608B0">
      <w:pPr>
        <w:pStyle w:val="NormalWeb"/>
        <w:spacing w:before="0" w:beforeAutospacing="0" w:after="0" w:afterAutospacing="0"/>
        <w:jc w:val="both"/>
        <w:rPr>
          <w:rFonts w:ascii="Calibri" w:hAnsi="Calibri" w:cs="Calibri"/>
          <w:sz w:val="22"/>
          <w:szCs w:val="22"/>
        </w:rPr>
      </w:pPr>
      <w:r w:rsidRPr="005A5150">
        <w:rPr>
          <w:rFonts w:ascii="Calibri" w:hAnsi="Calibri" w:cs="Calibri"/>
          <w:b/>
          <w:sz w:val="22"/>
          <w:szCs w:val="22"/>
        </w:rPr>
        <w:lastRenderedPageBreak/>
        <w:t xml:space="preserve">L’AFD a été pionnière en microfinance </w:t>
      </w:r>
      <w:r>
        <w:rPr>
          <w:rFonts w:ascii="Calibri" w:hAnsi="Calibri" w:cs="Calibri"/>
          <w:sz w:val="22"/>
          <w:szCs w:val="22"/>
        </w:rPr>
        <w:t>en intervenant dès les débuts du secteur, dans les années 80, et en accompagnant l’émergence de nombreuses IMF majeures.</w:t>
      </w:r>
      <w:r>
        <w:rPr>
          <w:rFonts w:ascii="Calibri" w:hAnsi="Calibri" w:cs="Calibri"/>
          <w:color w:val="70AD47" w:themeColor="accent6"/>
          <w:sz w:val="22"/>
          <w:szCs w:val="22"/>
        </w:rPr>
        <w:t xml:space="preserve"> </w:t>
      </w:r>
      <w:r>
        <w:rPr>
          <w:rFonts w:ascii="Calibri" w:hAnsi="Calibri" w:cs="Calibri"/>
          <w:sz w:val="22"/>
          <w:szCs w:val="22"/>
        </w:rPr>
        <w:t xml:space="preserve">D’une approche « projets » sur subvention dans </w:t>
      </w:r>
      <w:r w:rsidRPr="00C81657">
        <w:rPr>
          <w:rFonts w:ascii="Calibri" w:hAnsi="Calibri" w:cs="Calibri"/>
          <w:sz w:val="22"/>
          <w:szCs w:val="22"/>
        </w:rPr>
        <w:t xml:space="preserve">les années 90, l’AFD a développé dans les années 2000 une approche plus spécialisée visant au renforcement des IMF, puis peu à peu du secteur dans son ensemble. </w:t>
      </w:r>
      <w:r w:rsidR="00285F34">
        <w:rPr>
          <w:rFonts w:ascii="Calibri" w:hAnsi="Calibri" w:cs="Calibri"/>
          <w:sz w:val="22"/>
          <w:szCs w:val="22"/>
        </w:rPr>
        <w:t>S</w:t>
      </w:r>
      <w:r w:rsidR="004A773A">
        <w:rPr>
          <w:rFonts w:ascii="Calibri" w:hAnsi="Calibri" w:cs="Calibri"/>
          <w:sz w:val="22"/>
          <w:szCs w:val="22"/>
        </w:rPr>
        <w:t xml:space="preserve">a </w:t>
      </w:r>
      <w:r>
        <w:rPr>
          <w:rFonts w:ascii="Calibri" w:hAnsi="Calibri" w:cs="Calibri"/>
          <w:sz w:val="22"/>
          <w:szCs w:val="22"/>
        </w:rPr>
        <w:t>palette d’outils financiers</w:t>
      </w:r>
      <w:r w:rsidR="00285F34">
        <w:rPr>
          <w:rFonts w:ascii="Calibri" w:hAnsi="Calibri" w:cs="Calibri"/>
          <w:sz w:val="22"/>
          <w:szCs w:val="22"/>
        </w:rPr>
        <w:t xml:space="preserve"> s’est élargie</w:t>
      </w:r>
      <w:r>
        <w:rPr>
          <w:rFonts w:ascii="Calibri" w:hAnsi="Calibri" w:cs="Calibri"/>
          <w:sz w:val="22"/>
          <w:szCs w:val="22"/>
        </w:rPr>
        <w:t xml:space="preserve">, les appuis en subventions </w:t>
      </w:r>
      <w:r w:rsidR="00004BC7">
        <w:rPr>
          <w:rFonts w:ascii="Calibri" w:hAnsi="Calibri" w:cs="Calibri"/>
          <w:sz w:val="22"/>
          <w:szCs w:val="22"/>
        </w:rPr>
        <w:t xml:space="preserve">(dont le renforcement de capacités </w:t>
      </w:r>
      <w:r w:rsidR="00004BC7" w:rsidRPr="00894A37">
        <w:rPr>
          <w:rFonts w:ascii="Calibri" w:hAnsi="Calibri" w:cs="Calibri"/>
          <w:sz w:val="22"/>
          <w:szCs w:val="22"/>
        </w:rPr>
        <w:t>des IMF et les activités d’accompagnement des entrepreneurs clients du secteu</w:t>
      </w:r>
      <w:r w:rsidR="00004BC7">
        <w:rPr>
          <w:rFonts w:ascii="Calibri" w:hAnsi="Calibri" w:cs="Calibri"/>
          <w:sz w:val="22"/>
          <w:szCs w:val="22"/>
        </w:rPr>
        <w:t xml:space="preserve">r via le dispositif Initiatives OSC) </w:t>
      </w:r>
      <w:r>
        <w:rPr>
          <w:rFonts w:ascii="Calibri" w:hAnsi="Calibri" w:cs="Calibri"/>
          <w:sz w:val="22"/>
          <w:szCs w:val="22"/>
        </w:rPr>
        <w:t xml:space="preserve">étant complétés par des prêts, garanties, et investissements en capital. </w:t>
      </w:r>
      <w:r w:rsidRPr="00C81657">
        <w:rPr>
          <w:rFonts w:ascii="Calibri" w:hAnsi="Calibri" w:cs="Calibri"/>
          <w:sz w:val="22"/>
          <w:szCs w:val="22"/>
        </w:rPr>
        <w:t>Grâce à cette gamme diversifiée, le Groupe AFD accompagne aujourd’hui des partenaires variés, privés ou publics</w:t>
      </w:r>
      <w:r>
        <w:rPr>
          <w:rFonts w:ascii="Calibri" w:hAnsi="Calibri" w:cs="Calibri"/>
          <w:sz w:val="22"/>
          <w:szCs w:val="22"/>
        </w:rPr>
        <w:t xml:space="preserve">, à tous les niveaux du secteur : fournisseurs de services financiers variés, fonds de refinancement et d’appui, IMF, banques commerciales publiques ou privées, banques de développement, associations nationales d'inclusion financière, instances de régulation et de </w:t>
      </w:r>
      <w:r w:rsidRPr="00C81657">
        <w:rPr>
          <w:rFonts w:ascii="Calibri" w:hAnsi="Calibri" w:cs="Calibri"/>
          <w:sz w:val="22"/>
          <w:szCs w:val="22"/>
        </w:rPr>
        <w:t>supervision du secteur.</w:t>
      </w:r>
      <w:r>
        <w:rPr>
          <w:rFonts w:ascii="Calibri" w:hAnsi="Calibri" w:cs="Calibri"/>
          <w:sz w:val="22"/>
          <w:szCs w:val="22"/>
        </w:rPr>
        <w:t xml:space="preserve"> </w:t>
      </w:r>
      <w:r w:rsidRPr="0098657C">
        <w:rPr>
          <w:rFonts w:ascii="Calibri" w:hAnsi="Calibri" w:cs="Calibri"/>
          <w:sz w:val="22"/>
          <w:szCs w:val="22"/>
        </w:rPr>
        <w:t>Le nombre de projets instruits par le Groupe et les montants d’engagements</w:t>
      </w:r>
      <w:r>
        <w:rPr>
          <w:rFonts w:ascii="Calibri" w:hAnsi="Calibri" w:cs="Calibri"/>
          <w:sz w:val="22"/>
          <w:szCs w:val="22"/>
        </w:rPr>
        <w:t>,</w:t>
      </w:r>
      <w:r w:rsidRPr="0098657C">
        <w:rPr>
          <w:rFonts w:ascii="Calibri" w:hAnsi="Calibri" w:cs="Calibri"/>
          <w:sz w:val="22"/>
          <w:szCs w:val="22"/>
        </w:rPr>
        <w:t xml:space="preserve"> </w:t>
      </w:r>
      <w:r w:rsidR="00285F34" w:rsidRPr="005364EE">
        <w:rPr>
          <w:rFonts w:ascii="Calibri" w:hAnsi="Calibri" w:cs="Calibri"/>
          <w:sz w:val="22"/>
          <w:szCs w:val="22"/>
        </w:rPr>
        <w:t>437 millions d’euros en 2019</w:t>
      </w:r>
      <w:r w:rsidRPr="0098657C">
        <w:rPr>
          <w:rFonts w:ascii="Calibri" w:hAnsi="Calibri" w:cs="Calibri"/>
          <w:sz w:val="22"/>
          <w:szCs w:val="22"/>
        </w:rPr>
        <w:t>, sont en hausse régulière</w:t>
      </w:r>
      <w:r>
        <w:rPr>
          <w:rFonts w:ascii="Calibri" w:hAnsi="Calibri" w:cs="Calibri"/>
          <w:sz w:val="22"/>
          <w:szCs w:val="22"/>
        </w:rPr>
        <w:t xml:space="preserve">. </w:t>
      </w:r>
      <w:r w:rsidRPr="00C81657">
        <w:rPr>
          <w:rFonts w:ascii="Calibri" w:hAnsi="Calibri" w:cs="Calibri"/>
          <w:sz w:val="22"/>
          <w:szCs w:val="22"/>
        </w:rPr>
        <w:t xml:space="preserve">Le Groupe est </w:t>
      </w:r>
      <w:r w:rsidR="00285F34">
        <w:rPr>
          <w:rFonts w:ascii="Calibri" w:hAnsi="Calibri" w:cs="Calibri"/>
          <w:sz w:val="22"/>
          <w:szCs w:val="22"/>
        </w:rPr>
        <w:t xml:space="preserve">par ailleurs </w:t>
      </w:r>
      <w:r w:rsidRPr="00C81657">
        <w:rPr>
          <w:rFonts w:ascii="Calibri" w:hAnsi="Calibri" w:cs="Calibri"/>
          <w:sz w:val="22"/>
          <w:szCs w:val="22"/>
        </w:rPr>
        <w:t>très actif au sein des initiatives globales du secteur (présence au conseil d’administration du réseau des régulateurs, des bailleurs…)</w:t>
      </w:r>
      <w:r w:rsidR="00285F34">
        <w:rPr>
          <w:rFonts w:ascii="Calibri" w:hAnsi="Calibri" w:cs="Calibri"/>
          <w:sz w:val="22"/>
          <w:szCs w:val="22"/>
        </w:rPr>
        <w:t>.</w:t>
      </w:r>
    </w:p>
    <w:p w14:paraId="7656A2ED" w14:textId="77777777" w:rsidR="00285F34" w:rsidRDefault="00285F34" w:rsidP="000608B0">
      <w:pPr>
        <w:pStyle w:val="NormalWeb"/>
        <w:spacing w:before="0" w:beforeAutospacing="0" w:after="0" w:afterAutospacing="0"/>
        <w:jc w:val="both"/>
        <w:rPr>
          <w:rFonts w:ascii="Calibri" w:hAnsi="Calibri" w:cs="Calibri"/>
          <w:sz w:val="22"/>
          <w:szCs w:val="22"/>
        </w:rPr>
      </w:pPr>
    </w:p>
    <w:p w14:paraId="3B6A32D4" w14:textId="0DD3C3E8" w:rsidR="009866C7" w:rsidRDefault="000608B0" w:rsidP="005364EE">
      <w:pPr>
        <w:pStyle w:val="NormalWeb"/>
        <w:spacing w:before="0" w:beforeAutospacing="0" w:after="0"/>
        <w:jc w:val="both"/>
        <w:rPr>
          <w:rFonts w:ascii="Calibri" w:hAnsi="Calibri" w:cs="Calibri"/>
          <w:sz w:val="22"/>
          <w:szCs w:val="22"/>
        </w:rPr>
      </w:pPr>
      <w:r w:rsidRPr="00170E42">
        <w:rPr>
          <w:rFonts w:ascii="Calibri" w:hAnsi="Calibri" w:cs="Calibri"/>
          <w:b/>
          <w:sz w:val="22"/>
          <w:szCs w:val="22"/>
        </w:rPr>
        <w:t>L’inclusion financière est au croisement d’engagements forts</w:t>
      </w:r>
      <w:r w:rsidRPr="00C81657">
        <w:rPr>
          <w:rFonts w:ascii="Calibri" w:hAnsi="Calibri" w:cs="Calibri"/>
          <w:sz w:val="22"/>
          <w:szCs w:val="22"/>
        </w:rPr>
        <w:t xml:space="preserve"> pris </w:t>
      </w:r>
      <w:r w:rsidR="000269EE">
        <w:rPr>
          <w:rFonts w:ascii="Calibri" w:hAnsi="Calibri" w:cs="Calibri"/>
          <w:sz w:val="22"/>
          <w:szCs w:val="22"/>
        </w:rPr>
        <w:t>par le Groupe AFD</w:t>
      </w:r>
      <w:r w:rsidRPr="00C81657">
        <w:rPr>
          <w:rFonts w:ascii="Calibri" w:hAnsi="Calibri" w:cs="Calibri"/>
          <w:sz w:val="22"/>
          <w:szCs w:val="22"/>
        </w:rPr>
        <w:t xml:space="preserve"> : lien social, genre, climat, intervention dans les zones en crise et de fragilité. L'inclusion financière est au cœur du </w:t>
      </w:r>
      <w:r>
        <w:rPr>
          <w:rFonts w:ascii="Calibri" w:hAnsi="Calibri" w:cs="Calibri"/>
          <w:sz w:val="22"/>
          <w:szCs w:val="22"/>
        </w:rPr>
        <w:t xml:space="preserve">Cadre d’Intervention Sectoriel (CIS) </w:t>
      </w:r>
      <w:r w:rsidRPr="00C81657">
        <w:rPr>
          <w:rFonts w:ascii="Calibri" w:hAnsi="Calibri" w:cs="Calibri"/>
          <w:sz w:val="22"/>
          <w:szCs w:val="22"/>
        </w:rPr>
        <w:t>Systèmes</w:t>
      </w:r>
      <w:r>
        <w:rPr>
          <w:rFonts w:ascii="Calibri" w:hAnsi="Calibri" w:cs="Calibri"/>
          <w:sz w:val="22"/>
          <w:szCs w:val="22"/>
        </w:rPr>
        <w:t xml:space="preserve"> F</w:t>
      </w:r>
      <w:r w:rsidRPr="005B1C36">
        <w:rPr>
          <w:rFonts w:ascii="Calibri" w:hAnsi="Calibri" w:cs="Calibri"/>
          <w:sz w:val="22"/>
          <w:szCs w:val="22"/>
        </w:rPr>
        <w:t xml:space="preserve">inanciers, commun à </w:t>
      </w:r>
      <w:r w:rsidR="000269EE">
        <w:rPr>
          <w:rFonts w:ascii="Calibri" w:hAnsi="Calibri" w:cs="Calibri"/>
          <w:sz w:val="22"/>
          <w:szCs w:val="22"/>
        </w:rPr>
        <w:t>l’</w:t>
      </w:r>
      <w:r w:rsidRPr="005B1C36">
        <w:rPr>
          <w:rFonts w:ascii="Calibri" w:hAnsi="Calibri" w:cs="Calibri"/>
          <w:sz w:val="22"/>
          <w:szCs w:val="22"/>
        </w:rPr>
        <w:t>AFD et Proparco ; la thématiqu</w:t>
      </w:r>
      <w:r w:rsidR="009866C7">
        <w:rPr>
          <w:rFonts w:ascii="Calibri" w:hAnsi="Calibri" w:cs="Calibri"/>
          <w:sz w:val="22"/>
          <w:szCs w:val="22"/>
        </w:rPr>
        <w:t>e recoupe les trois axes du CIS :</w:t>
      </w:r>
    </w:p>
    <w:p w14:paraId="33350B92" w14:textId="53CAD0C8" w:rsidR="009866C7" w:rsidRPr="000545FF" w:rsidRDefault="009866C7" w:rsidP="005364EE">
      <w:pPr>
        <w:pStyle w:val="NormalWeb"/>
        <w:numPr>
          <w:ilvl w:val="1"/>
          <w:numId w:val="19"/>
        </w:numPr>
        <w:spacing w:before="0" w:beforeAutospacing="0" w:after="0" w:afterAutospacing="0"/>
        <w:jc w:val="both"/>
        <w:rPr>
          <w:rFonts w:ascii="Calibri" w:hAnsi="Calibri" w:cs="Calibri"/>
        </w:rPr>
      </w:pPr>
      <w:r w:rsidRPr="00183481">
        <w:rPr>
          <w:rFonts w:ascii="Calibri" w:hAnsi="Calibri" w:cs="Calibri"/>
          <w:sz w:val="22"/>
          <w:szCs w:val="22"/>
        </w:rPr>
        <w:t>A</w:t>
      </w:r>
      <w:r w:rsidR="000608B0" w:rsidRPr="00183481">
        <w:rPr>
          <w:rFonts w:ascii="Calibri" w:hAnsi="Calibri" w:cs="Calibri"/>
          <w:sz w:val="22"/>
          <w:szCs w:val="22"/>
        </w:rPr>
        <w:t>ccès</w:t>
      </w:r>
      <w:r w:rsidRPr="00183481">
        <w:rPr>
          <w:rFonts w:ascii="Calibri" w:hAnsi="Calibri" w:cs="Calibri"/>
          <w:sz w:val="22"/>
          <w:szCs w:val="22"/>
        </w:rPr>
        <w:t xml:space="preserve"> : </w:t>
      </w:r>
      <w:r w:rsidR="000608B0" w:rsidRPr="00183481">
        <w:rPr>
          <w:rFonts w:ascii="Calibri" w:hAnsi="Calibri" w:cs="Calibri"/>
          <w:sz w:val="22"/>
          <w:szCs w:val="22"/>
        </w:rPr>
        <w:t>favoriser l’accès à des services</w:t>
      </w:r>
      <w:r>
        <w:rPr>
          <w:rFonts w:ascii="Calibri" w:hAnsi="Calibri" w:cs="Calibri"/>
          <w:sz w:val="22"/>
          <w:szCs w:val="22"/>
        </w:rPr>
        <w:t xml:space="preserve"> </w:t>
      </w:r>
      <w:r w:rsidR="000608B0" w:rsidRPr="00183481">
        <w:rPr>
          <w:rFonts w:ascii="Calibri" w:hAnsi="Calibri" w:cs="Calibri"/>
          <w:sz w:val="22"/>
          <w:szCs w:val="22"/>
        </w:rPr>
        <w:t xml:space="preserve">financiers adaptés aux besoins </w:t>
      </w:r>
      <w:r w:rsidR="003F226A">
        <w:rPr>
          <w:rFonts w:ascii="Calibri" w:hAnsi="Calibri" w:cs="Calibri"/>
          <w:sz w:val="22"/>
          <w:szCs w:val="22"/>
        </w:rPr>
        <w:t xml:space="preserve">des individus, </w:t>
      </w:r>
      <w:r w:rsidR="000608B0" w:rsidRPr="00183481">
        <w:rPr>
          <w:rFonts w:ascii="Calibri" w:hAnsi="Calibri" w:cs="Calibri"/>
          <w:sz w:val="22"/>
          <w:szCs w:val="22"/>
        </w:rPr>
        <w:t>d</w:t>
      </w:r>
      <w:r w:rsidR="003F226A">
        <w:rPr>
          <w:rFonts w:ascii="Calibri" w:hAnsi="Calibri" w:cs="Calibri"/>
          <w:sz w:val="22"/>
          <w:szCs w:val="22"/>
        </w:rPr>
        <w:t>es</w:t>
      </w:r>
      <w:r w:rsidR="000608B0" w:rsidRPr="00183481">
        <w:rPr>
          <w:rFonts w:ascii="Calibri" w:hAnsi="Calibri" w:cs="Calibri"/>
          <w:sz w:val="22"/>
          <w:szCs w:val="22"/>
        </w:rPr>
        <w:t xml:space="preserve"> ménag</w:t>
      </w:r>
      <w:r w:rsidR="003F226A">
        <w:rPr>
          <w:rFonts w:ascii="Calibri" w:hAnsi="Calibri" w:cs="Calibri"/>
          <w:sz w:val="22"/>
          <w:szCs w:val="22"/>
        </w:rPr>
        <w:t>es</w:t>
      </w:r>
      <w:r w:rsidR="000608B0" w:rsidRPr="00183481">
        <w:rPr>
          <w:rFonts w:ascii="Calibri" w:hAnsi="Calibri" w:cs="Calibri"/>
          <w:sz w:val="22"/>
          <w:szCs w:val="22"/>
        </w:rPr>
        <w:t xml:space="preserve"> ou de l’entrepreneur </w:t>
      </w:r>
      <w:r w:rsidR="00DE644A">
        <w:rPr>
          <w:rFonts w:ascii="Calibri" w:hAnsi="Calibri" w:cs="Calibri"/>
          <w:sz w:val="22"/>
          <w:szCs w:val="22"/>
        </w:rPr>
        <w:t>ou entrepreneuse</w:t>
      </w:r>
    </w:p>
    <w:p w14:paraId="2FCB2E52" w14:textId="2969B259" w:rsidR="009866C7" w:rsidRPr="000545FF" w:rsidRDefault="009866C7" w:rsidP="005364EE">
      <w:pPr>
        <w:pStyle w:val="NormalWeb"/>
        <w:numPr>
          <w:ilvl w:val="1"/>
          <w:numId w:val="19"/>
        </w:numPr>
        <w:spacing w:before="0" w:beforeAutospacing="0" w:after="0" w:afterAutospacing="0"/>
        <w:jc w:val="both"/>
        <w:rPr>
          <w:rFonts w:ascii="Calibri" w:hAnsi="Calibri" w:cs="Calibri"/>
        </w:rPr>
      </w:pPr>
      <w:r>
        <w:rPr>
          <w:rFonts w:ascii="Calibri" w:hAnsi="Calibri" w:cs="Calibri"/>
          <w:sz w:val="22"/>
          <w:szCs w:val="22"/>
        </w:rPr>
        <w:t>T</w:t>
      </w:r>
      <w:r w:rsidR="000608B0" w:rsidRPr="00183481">
        <w:rPr>
          <w:rFonts w:ascii="Calibri" w:hAnsi="Calibri" w:cs="Calibri"/>
          <w:sz w:val="22"/>
          <w:szCs w:val="22"/>
        </w:rPr>
        <w:t>ransition</w:t>
      </w:r>
      <w:r w:rsidRPr="00183481">
        <w:rPr>
          <w:rFonts w:ascii="Calibri" w:hAnsi="Calibri" w:cs="Calibri"/>
          <w:sz w:val="22"/>
          <w:szCs w:val="22"/>
        </w:rPr>
        <w:t> : accompagner l’émergence d’un</w:t>
      </w:r>
      <w:r>
        <w:rPr>
          <w:rFonts w:ascii="Calibri" w:hAnsi="Calibri" w:cs="Calibri"/>
          <w:sz w:val="22"/>
          <w:szCs w:val="22"/>
        </w:rPr>
        <w:t xml:space="preserve"> </w:t>
      </w:r>
      <w:r w:rsidRPr="00183481">
        <w:rPr>
          <w:rFonts w:ascii="Calibri" w:hAnsi="Calibri" w:cs="Calibri"/>
          <w:sz w:val="22"/>
          <w:szCs w:val="22"/>
        </w:rPr>
        <w:t xml:space="preserve">nouveau modèle de finance durable </w:t>
      </w:r>
      <w:r w:rsidR="000608B0" w:rsidRPr="00183481">
        <w:rPr>
          <w:rFonts w:ascii="Calibri" w:hAnsi="Calibri" w:cs="Calibri"/>
          <w:sz w:val="22"/>
          <w:szCs w:val="22"/>
        </w:rPr>
        <w:t xml:space="preserve">(microfinance verte, accès aux soins via l’assurance…) </w:t>
      </w:r>
    </w:p>
    <w:p w14:paraId="37EDCD06" w14:textId="39874035" w:rsidR="000608B0" w:rsidRPr="00183481" w:rsidRDefault="009866C7" w:rsidP="005364EE">
      <w:pPr>
        <w:pStyle w:val="NormalWeb"/>
        <w:numPr>
          <w:ilvl w:val="1"/>
          <w:numId w:val="19"/>
        </w:numPr>
        <w:spacing w:before="0" w:beforeAutospacing="0" w:after="0" w:afterAutospacing="0"/>
        <w:jc w:val="both"/>
        <w:rPr>
          <w:rFonts w:ascii="Calibri" w:hAnsi="Calibri" w:cs="Calibri"/>
        </w:rPr>
      </w:pPr>
      <w:r>
        <w:rPr>
          <w:rFonts w:ascii="Calibri" w:hAnsi="Calibri" w:cs="Calibri"/>
          <w:sz w:val="22"/>
          <w:szCs w:val="22"/>
        </w:rPr>
        <w:t>C</w:t>
      </w:r>
      <w:r w:rsidR="000608B0" w:rsidRPr="00183481">
        <w:rPr>
          <w:rFonts w:ascii="Calibri" w:hAnsi="Calibri" w:cs="Calibri"/>
          <w:sz w:val="22"/>
          <w:szCs w:val="22"/>
        </w:rPr>
        <w:t>onsolidation</w:t>
      </w:r>
      <w:r w:rsidRPr="00183481">
        <w:rPr>
          <w:rFonts w:ascii="Calibri" w:hAnsi="Calibri" w:cs="Calibri"/>
          <w:sz w:val="22"/>
          <w:szCs w:val="22"/>
        </w:rPr>
        <w:t> : soutenir le développement des acteurs financiers tout en confortant les fondements du cadre</w:t>
      </w:r>
      <w:r>
        <w:rPr>
          <w:rFonts w:ascii="Calibri" w:hAnsi="Calibri" w:cs="Calibri"/>
          <w:sz w:val="22"/>
          <w:szCs w:val="22"/>
        </w:rPr>
        <w:t xml:space="preserve"> </w:t>
      </w:r>
      <w:r w:rsidRPr="00183481">
        <w:rPr>
          <w:rFonts w:ascii="Calibri" w:hAnsi="Calibri" w:cs="Calibri"/>
          <w:sz w:val="22"/>
          <w:szCs w:val="22"/>
        </w:rPr>
        <w:t>institutionnel et réglementaire dans lequel ils opèrent</w:t>
      </w:r>
      <w:r w:rsidR="000608B0" w:rsidRPr="00183481">
        <w:rPr>
          <w:rFonts w:ascii="Calibri" w:hAnsi="Calibri" w:cs="Calibri"/>
          <w:sz w:val="22"/>
          <w:szCs w:val="22"/>
        </w:rPr>
        <w:t xml:space="preserve"> (appui aux stratégies et réformes publiques).</w:t>
      </w:r>
    </w:p>
    <w:p w14:paraId="2F20E934" w14:textId="4810A7E6" w:rsidR="00285F34" w:rsidRPr="007D734C" w:rsidRDefault="009866C7" w:rsidP="000545FF">
      <w:pPr>
        <w:pStyle w:val="NormalWeb"/>
        <w:jc w:val="both"/>
        <w:rPr>
          <w:rFonts w:ascii="Calibri" w:hAnsi="Calibri" w:cs="Calibri"/>
          <w:b/>
          <w:sz w:val="22"/>
          <w:szCs w:val="22"/>
        </w:rPr>
      </w:pPr>
      <w:r w:rsidRPr="005364EE">
        <w:rPr>
          <w:rFonts w:ascii="Calibri" w:hAnsi="Calibri" w:cs="Calibri"/>
          <w:sz w:val="22"/>
          <w:szCs w:val="22"/>
        </w:rPr>
        <w:t xml:space="preserve">Une étude menée par l’AFD en </w:t>
      </w:r>
      <w:r w:rsidRPr="000269EE">
        <w:rPr>
          <w:rFonts w:ascii="Calibri" w:hAnsi="Calibri" w:cs="Calibri"/>
          <w:sz w:val="22"/>
          <w:szCs w:val="22"/>
        </w:rPr>
        <w:t>2017 sur l’appui au secteur privé dans les pays en contextes de vulnérabilités et de crises avait mis en exergue l’enjeu d</w:t>
      </w:r>
      <w:r w:rsidR="00EC1E4A">
        <w:rPr>
          <w:rFonts w:ascii="Calibri" w:hAnsi="Calibri" w:cs="Calibri"/>
          <w:sz w:val="22"/>
          <w:szCs w:val="22"/>
        </w:rPr>
        <w:t xml:space="preserve">u renforcement de la résilience </w:t>
      </w:r>
      <w:r w:rsidRPr="000269EE">
        <w:rPr>
          <w:rFonts w:ascii="Calibri" w:hAnsi="Calibri" w:cs="Calibri"/>
          <w:sz w:val="22"/>
          <w:szCs w:val="22"/>
        </w:rPr>
        <w:t>des populations vulnérables</w:t>
      </w:r>
      <w:r w:rsidR="00EC1E4A">
        <w:rPr>
          <w:rFonts w:ascii="Calibri" w:hAnsi="Calibri" w:cs="Calibri"/>
          <w:sz w:val="22"/>
          <w:szCs w:val="22"/>
        </w:rPr>
        <w:t>,</w:t>
      </w:r>
      <w:r w:rsidRPr="000269EE">
        <w:rPr>
          <w:rFonts w:ascii="Calibri" w:hAnsi="Calibri" w:cs="Calibri"/>
          <w:sz w:val="22"/>
          <w:szCs w:val="22"/>
        </w:rPr>
        <w:t xml:space="preserve"> notamment des </w:t>
      </w:r>
      <w:r w:rsidR="00EC1E4A">
        <w:rPr>
          <w:rFonts w:ascii="Calibri" w:hAnsi="Calibri" w:cs="Calibri"/>
          <w:sz w:val="22"/>
          <w:szCs w:val="22"/>
        </w:rPr>
        <w:t xml:space="preserve">personnes </w:t>
      </w:r>
      <w:r w:rsidRPr="000269EE">
        <w:rPr>
          <w:rFonts w:ascii="Calibri" w:hAnsi="Calibri" w:cs="Calibri"/>
          <w:sz w:val="22"/>
          <w:szCs w:val="22"/>
        </w:rPr>
        <w:t>déplacées,</w:t>
      </w:r>
      <w:r w:rsidR="00EC1E4A">
        <w:rPr>
          <w:rFonts w:ascii="Calibri" w:hAnsi="Calibri" w:cs="Calibri"/>
          <w:sz w:val="22"/>
          <w:szCs w:val="22"/>
        </w:rPr>
        <w:t xml:space="preserve"> par l’inclusion financière et</w:t>
      </w:r>
      <w:r w:rsidRPr="000269EE">
        <w:rPr>
          <w:rFonts w:ascii="Calibri" w:hAnsi="Calibri" w:cs="Calibri"/>
          <w:sz w:val="22"/>
          <w:szCs w:val="22"/>
        </w:rPr>
        <w:t xml:space="preserve"> </w:t>
      </w:r>
      <w:r w:rsidR="00EC1E4A">
        <w:rPr>
          <w:rFonts w:ascii="Calibri" w:hAnsi="Calibri" w:cs="Calibri"/>
          <w:sz w:val="22"/>
          <w:szCs w:val="22"/>
        </w:rPr>
        <w:t>le</w:t>
      </w:r>
      <w:r w:rsidRPr="000269EE">
        <w:rPr>
          <w:rFonts w:ascii="Calibri" w:hAnsi="Calibri" w:cs="Calibri"/>
          <w:sz w:val="22"/>
          <w:szCs w:val="22"/>
        </w:rPr>
        <w:t xml:space="preserve"> soutien à l'initiative</w:t>
      </w:r>
      <w:r w:rsidR="003F226A">
        <w:rPr>
          <w:rFonts w:ascii="Calibri" w:hAnsi="Calibri" w:cs="Calibri"/>
          <w:sz w:val="22"/>
          <w:szCs w:val="22"/>
        </w:rPr>
        <w:t xml:space="preserve"> </w:t>
      </w:r>
      <w:r w:rsidR="003F226A" w:rsidRPr="003F226A">
        <w:rPr>
          <w:rFonts w:ascii="Calibri" w:hAnsi="Calibri" w:cs="Calibri"/>
          <w:sz w:val="22"/>
          <w:szCs w:val="22"/>
        </w:rPr>
        <w:t>économique des personnes vulnérables, notamment les femmes</w:t>
      </w:r>
      <w:r w:rsidRPr="000269EE">
        <w:rPr>
          <w:rFonts w:ascii="Calibri" w:hAnsi="Calibri" w:cs="Calibri"/>
          <w:sz w:val="22"/>
          <w:szCs w:val="22"/>
        </w:rPr>
        <w:t>. L</w:t>
      </w:r>
      <w:r w:rsidR="000608B0" w:rsidRPr="000269EE">
        <w:rPr>
          <w:rFonts w:ascii="Calibri" w:hAnsi="Calibri" w:cs="Calibri"/>
          <w:sz w:val="22"/>
          <w:szCs w:val="22"/>
        </w:rPr>
        <w:t xml:space="preserve">es interventions </w:t>
      </w:r>
      <w:r w:rsidRPr="000269EE">
        <w:rPr>
          <w:rFonts w:ascii="Calibri" w:hAnsi="Calibri" w:cs="Calibri"/>
          <w:sz w:val="22"/>
          <w:szCs w:val="22"/>
        </w:rPr>
        <w:t xml:space="preserve">passées </w:t>
      </w:r>
      <w:r w:rsidR="000608B0" w:rsidRPr="000269EE">
        <w:rPr>
          <w:rFonts w:ascii="Calibri" w:hAnsi="Calibri" w:cs="Calibri"/>
          <w:sz w:val="22"/>
          <w:szCs w:val="22"/>
        </w:rPr>
        <w:t xml:space="preserve">de l’AFD </w:t>
      </w:r>
      <w:r w:rsidRPr="000269EE">
        <w:rPr>
          <w:rFonts w:ascii="Calibri" w:hAnsi="Calibri" w:cs="Calibri"/>
          <w:sz w:val="22"/>
          <w:szCs w:val="22"/>
        </w:rPr>
        <w:t xml:space="preserve">en matière </w:t>
      </w:r>
      <w:r w:rsidRPr="007D734C">
        <w:rPr>
          <w:rFonts w:ascii="Calibri" w:hAnsi="Calibri" w:cs="Calibri"/>
          <w:sz w:val="22"/>
          <w:szCs w:val="22"/>
        </w:rPr>
        <w:t>d’inclusion financière ont pu</w:t>
      </w:r>
      <w:r w:rsidRPr="00135B96">
        <w:rPr>
          <w:rFonts w:ascii="Calibri" w:hAnsi="Calibri" w:cs="Calibri"/>
          <w:sz w:val="22"/>
          <w:szCs w:val="22"/>
        </w:rPr>
        <w:t xml:space="preserve"> bénéficier </w:t>
      </w:r>
      <w:r w:rsidR="00EC1E4A" w:rsidRPr="007D734C">
        <w:rPr>
          <w:rFonts w:ascii="Calibri" w:hAnsi="Calibri" w:cs="Calibri"/>
          <w:sz w:val="22"/>
          <w:szCs w:val="22"/>
        </w:rPr>
        <w:t>à des</w:t>
      </w:r>
      <w:r w:rsidR="00EC1E4A" w:rsidRPr="00135B96">
        <w:rPr>
          <w:rFonts w:ascii="Calibri" w:hAnsi="Calibri" w:cs="Calibri"/>
          <w:sz w:val="22"/>
          <w:szCs w:val="22"/>
        </w:rPr>
        <w:t xml:space="preserve"> </w:t>
      </w:r>
      <w:r w:rsidRPr="007D734C">
        <w:rPr>
          <w:rFonts w:ascii="Calibri" w:hAnsi="Calibri" w:cs="Calibri"/>
          <w:sz w:val="22"/>
          <w:szCs w:val="22"/>
        </w:rPr>
        <w:t>populations migrantes</w:t>
      </w:r>
      <w:r w:rsidRPr="00135B96">
        <w:rPr>
          <w:rFonts w:ascii="Calibri" w:hAnsi="Calibri" w:cs="Calibri"/>
          <w:sz w:val="22"/>
          <w:szCs w:val="22"/>
        </w:rPr>
        <w:t xml:space="preserve"> mais cette cible n’a pas fait l’objet d’un travail de capitalisation spécifique permettant de tirer les enseignements nécessaires au passage à l’échelle.</w:t>
      </w:r>
      <w:r w:rsidRPr="00135B96">
        <w:rPr>
          <w:rFonts w:ascii="Calibri" w:hAnsi="Calibri" w:cs="Calibri"/>
          <w:b/>
          <w:sz w:val="22"/>
          <w:szCs w:val="22"/>
        </w:rPr>
        <w:t xml:space="preserve"> Au travers de cette FISONG</w:t>
      </w:r>
      <w:r w:rsidR="00EC1E4A" w:rsidRPr="00135B96">
        <w:rPr>
          <w:rFonts w:ascii="Calibri" w:hAnsi="Calibri" w:cs="Calibri"/>
          <w:b/>
          <w:sz w:val="22"/>
          <w:szCs w:val="22"/>
        </w:rPr>
        <w:t>,</w:t>
      </w:r>
      <w:r w:rsidRPr="00135B96">
        <w:rPr>
          <w:rFonts w:ascii="Calibri" w:hAnsi="Calibri" w:cs="Calibri"/>
          <w:b/>
          <w:sz w:val="22"/>
          <w:szCs w:val="22"/>
        </w:rPr>
        <w:t xml:space="preserve"> l’AFD se donne donc pour double objectif de </w:t>
      </w:r>
      <w:r w:rsidR="006C1B07" w:rsidRPr="00135B96">
        <w:rPr>
          <w:rFonts w:ascii="Calibri" w:hAnsi="Calibri" w:cs="Calibri"/>
          <w:b/>
          <w:sz w:val="22"/>
          <w:szCs w:val="22"/>
        </w:rPr>
        <w:t>1) soutenir la mise en œuvre de projets innovants pour favoriser l’inclusion financière des migrants</w:t>
      </w:r>
      <w:r w:rsidR="00DE644A">
        <w:rPr>
          <w:rFonts w:ascii="Calibri" w:hAnsi="Calibri" w:cs="Calibri"/>
          <w:b/>
          <w:sz w:val="22"/>
          <w:szCs w:val="22"/>
        </w:rPr>
        <w:t xml:space="preserve"> et des migrantes</w:t>
      </w:r>
      <w:r w:rsidR="00AF691A">
        <w:rPr>
          <w:rFonts w:ascii="Calibri" w:hAnsi="Calibri" w:cs="Calibri"/>
          <w:b/>
          <w:sz w:val="22"/>
          <w:szCs w:val="22"/>
        </w:rPr>
        <w:t xml:space="preserve"> qui intègrent une perspective de genre</w:t>
      </w:r>
      <w:r w:rsidR="006C1B07" w:rsidRPr="00135B96">
        <w:rPr>
          <w:rFonts w:ascii="Calibri" w:hAnsi="Calibri" w:cs="Calibri"/>
          <w:b/>
          <w:sz w:val="22"/>
          <w:szCs w:val="22"/>
        </w:rPr>
        <w:t xml:space="preserve"> et 2) mener un travail de capitalisation</w:t>
      </w:r>
      <w:r w:rsidR="006C1B07" w:rsidRPr="007D734C">
        <w:rPr>
          <w:rFonts w:ascii="Calibri" w:hAnsi="Calibri" w:cs="Calibri"/>
          <w:b/>
          <w:sz w:val="22"/>
          <w:szCs w:val="22"/>
        </w:rPr>
        <w:t xml:space="preserve"> devant permettre de tirer les leçons de ces expériences ciblées afin d’améliorer la capacité de l’AFD à inclure ces populations au sein de ses projets d’inclusion financière.</w:t>
      </w:r>
      <w:r w:rsidRPr="007D734C">
        <w:rPr>
          <w:rFonts w:ascii="Calibri" w:hAnsi="Calibri" w:cs="Calibri"/>
          <w:b/>
          <w:sz w:val="22"/>
          <w:szCs w:val="22"/>
        </w:rPr>
        <w:t xml:space="preserve"> </w:t>
      </w:r>
    </w:p>
    <w:p w14:paraId="6B193497" w14:textId="4D255871" w:rsidR="005B6519" w:rsidRDefault="0042555E" w:rsidP="000545FF">
      <w:pPr>
        <w:pStyle w:val="Titre1"/>
      </w:pPr>
      <w:bookmarkStart w:id="14" w:name="_Toc26784631"/>
      <w:bookmarkStart w:id="15" w:name="_Toc29476267"/>
      <w:bookmarkStart w:id="16" w:name="_Toc55391567"/>
      <w:r>
        <w:t xml:space="preserve">3. </w:t>
      </w:r>
      <w:r w:rsidR="00B862BD" w:rsidRPr="00B862BD">
        <w:t>Orientations de l’appel à propositions</w:t>
      </w:r>
      <w:bookmarkStart w:id="17" w:name="_Toc26784633"/>
      <w:bookmarkStart w:id="18" w:name="_Toc29476269"/>
      <w:bookmarkEnd w:id="14"/>
      <w:bookmarkEnd w:id="15"/>
      <w:bookmarkEnd w:id="16"/>
    </w:p>
    <w:p w14:paraId="4D07370B" w14:textId="19BDBDB9" w:rsidR="005B6519" w:rsidRDefault="005B6519" w:rsidP="000545FF">
      <w:pPr>
        <w:pStyle w:val="Titre2"/>
      </w:pPr>
      <w:bookmarkStart w:id="19" w:name="_Toc55391568"/>
      <w:r>
        <w:t xml:space="preserve">3.1. </w:t>
      </w:r>
      <w:r w:rsidR="009E0B01">
        <w:t>Lignes directrices générales</w:t>
      </w:r>
      <w:bookmarkEnd w:id="17"/>
      <w:bookmarkEnd w:id="18"/>
      <w:bookmarkEnd w:id="19"/>
    </w:p>
    <w:p w14:paraId="2C106737" w14:textId="77777777" w:rsidR="005B6519" w:rsidRPr="0098657C" w:rsidRDefault="005B6519" w:rsidP="0098657C">
      <w:pPr>
        <w:spacing w:after="0"/>
      </w:pPr>
    </w:p>
    <w:p w14:paraId="6DEBF276" w14:textId="6272AA9D" w:rsidR="009E0B01" w:rsidRPr="00B862BD" w:rsidRDefault="005B6519" w:rsidP="00B862BD">
      <w:pPr>
        <w:pStyle w:val="Titre3"/>
        <w:ind w:firstLine="708"/>
      </w:pPr>
      <w:bookmarkStart w:id="20" w:name="_Toc29476270"/>
      <w:bookmarkStart w:id="21" w:name="_Toc55391569"/>
      <w:r>
        <w:t xml:space="preserve">3.1.1. </w:t>
      </w:r>
      <w:r w:rsidR="009E0B01" w:rsidRPr="00B862BD">
        <w:t>Périmètre thématique</w:t>
      </w:r>
      <w:bookmarkEnd w:id="20"/>
      <w:bookmarkEnd w:id="21"/>
    </w:p>
    <w:p w14:paraId="6E311562" w14:textId="77777777" w:rsidR="0098657C" w:rsidRPr="0098657C" w:rsidRDefault="0098657C" w:rsidP="0098657C">
      <w:pPr>
        <w:spacing w:after="0"/>
      </w:pPr>
    </w:p>
    <w:p w14:paraId="349702CA" w14:textId="3B2E7829" w:rsidR="009E0B01" w:rsidRDefault="009E0B01" w:rsidP="00C864F9">
      <w:pPr>
        <w:jc w:val="both"/>
      </w:pPr>
      <w:r w:rsidRPr="00F87C1C">
        <w:t xml:space="preserve">Les propositions présentées par les ONG devront </w:t>
      </w:r>
      <w:r w:rsidR="00DB0759">
        <w:t>s’appuyer</w:t>
      </w:r>
      <w:r w:rsidR="00A07426">
        <w:t xml:space="preserve"> sur une analyse des vulnérabilités des populations déplacées ou migrantes (présentées dans le cadre du projet ou en annexe), et de leurs besoins spécifiques en termes d’accès à des services financiers.</w:t>
      </w:r>
      <w:r w:rsidR="00DE644A">
        <w:t xml:space="preserve"> Cette analyse des vulnérabilités devra intégrer une perspective de genre.</w:t>
      </w:r>
      <w:r w:rsidR="00A07426">
        <w:t xml:space="preserve"> Les propositions devront </w:t>
      </w:r>
      <w:r>
        <w:t>concerner :</w:t>
      </w:r>
    </w:p>
    <w:p w14:paraId="532D16C9" w14:textId="2B08C34A" w:rsidR="00141887" w:rsidRDefault="0098657C">
      <w:pPr>
        <w:pStyle w:val="Paragraphedeliste"/>
        <w:numPr>
          <w:ilvl w:val="0"/>
          <w:numId w:val="45"/>
        </w:numPr>
        <w:jc w:val="both"/>
      </w:pPr>
      <w:r>
        <w:lastRenderedPageBreak/>
        <w:t>L’inclusion financière des populations migrantes</w:t>
      </w:r>
      <w:r w:rsidR="00A07426">
        <w:t xml:space="preserve"> vulnérables</w:t>
      </w:r>
      <w:r>
        <w:t>, comprises dans un sens large</w:t>
      </w:r>
      <w:r w:rsidR="007C4AD2">
        <w:t xml:space="preserve"> (réfugié</w:t>
      </w:r>
      <w:r w:rsidR="00DE644A">
        <w:t>-e-</w:t>
      </w:r>
      <w:r w:rsidR="007C4AD2">
        <w:t>s, déplacé</w:t>
      </w:r>
      <w:r w:rsidR="00DE644A">
        <w:t>-e-</w:t>
      </w:r>
      <w:r w:rsidR="007C4AD2">
        <w:t>s</w:t>
      </w:r>
      <w:r w:rsidR="00A07426">
        <w:t xml:space="preserve"> internes</w:t>
      </w:r>
      <w:r w:rsidR="007C4AD2">
        <w:t xml:space="preserve"> ou migrant</w:t>
      </w:r>
      <w:r w:rsidR="00DE644A">
        <w:t>-e-</w:t>
      </w:r>
      <w:r w:rsidR="007C4AD2">
        <w:t>s économiques)</w:t>
      </w:r>
      <w:r w:rsidR="00141887">
        <w:rPr>
          <w:rStyle w:val="Appelnotedebasdep"/>
        </w:rPr>
        <w:footnoteReference w:id="12"/>
      </w:r>
      <w:r w:rsidR="00F50982">
        <w:t>,</w:t>
      </w:r>
      <w:r>
        <w:t>qui font face à des obstacles spécifiques pour accéder aux services financier</w:t>
      </w:r>
      <w:r w:rsidR="0016109A">
        <w:t>s et renforcer leur degré d’inclusion financière en adéquation avec leur trajectoire migratoire</w:t>
      </w:r>
      <w:r w:rsidR="00F50982">
        <w:t>.</w:t>
      </w:r>
      <w:r w:rsidR="00141887">
        <w:t xml:space="preserve"> </w:t>
      </w:r>
    </w:p>
    <w:p w14:paraId="4E1F4A46" w14:textId="211D9080" w:rsidR="00141887" w:rsidRDefault="0098657C" w:rsidP="000269EE">
      <w:pPr>
        <w:pStyle w:val="Paragraphedeliste"/>
        <w:numPr>
          <w:ilvl w:val="0"/>
          <w:numId w:val="45"/>
        </w:numPr>
        <w:jc w:val="both"/>
      </w:pPr>
      <w:r>
        <w:t>L’innovation</w:t>
      </w:r>
      <w:r w:rsidR="00AE1EDB">
        <w:t>,</w:t>
      </w:r>
      <w:r>
        <w:t xml:space="preserve"> comprise dans un sens large</w:t>
      </w:r>
      <w:r w:rsidR="007C4AD2">
        <w:t xml:space="preserve"> comme précisé dans la section 1</w:t>
      </w:r>
      <w:r w:rsidR="00AE1EDB">
        <w:t>.</w:t>
      </w:r>
    </w:p>
    <w:p w14:paraId="77EC4045" w14:textId="2B8B7827" w:rsidR="00CA3FF4" w:rsidRPr="00573885" w:rsidRDefault="005B6519" w:rsidP="00B14A41">
      <w:pPr>
        <w:pStyle w:val="Titre3"/>
        <w:ind w:firstLine="360"/>
      </w:pPr>
      <w:bookmarkStart w:id="22" w:name="_Toc29476271"/>
      <w:bookmarkStart w:id="23" w:name="_Toc55391570"/>
      <w:r>
        <w:t xml:space="preserve">3.1.2. </w:t>
      </w:r>
      <w:r w:rsidR="00CA3FF4" w:rsidRPr="00573885">
        <w:t>Périmètre géographique</w:t>
      </w:r>
      <w:bookmarkEnd w:id="22"/>
      <w:bookmarkEnd w:id="23"/>
    </w:p>
    <w:p w14:paraId="3B2CF7E5" w14:textId="4A77A139" w:rsidR="00CA3FF4" w:rsidRDefault="00C64E84" w:rsidP="00B14A41">
      <w:pPr>
        <w:spacing w:before="240"/>
        <w:jc w:val="both"/>
      </w:pPr>
      <w:r>
        <w:t>L</w:t>
      </w:r>
      <w:r w:rsidR="00CA3FF4">
        <w:t>e périmètre géographique</w:t>
      </w:r>
      <w:r>
        <w:t xml:space="preserve"> de cette FISONG</w:t>
      </w:r>
      <w:r w:rsidR="00CA3FF4">
        <w:t xml:space="preserve"> est ouvert à l’ensemble des </w:t>
      </w:r>
      <w:r w:rsidR="00DA1526">
        <w:t xml:space="preserve">pays </w:t>
      </w:r>
      <w:r w:rsidR="00AD316F">
        <w:t xml:space="preserve">d’intervention de l’AFD </w:t>
      </w:r>
      <w:r w:rsidR="00DA1526">
        <w:t>éligibles à l’aide publique au développement</w:t>
      </w:r>
      <w:r w:rsidR="00DA1526">
        <w:rPr>
          <w:rStyle w:val="Appelnotedebasdep"/>
        </w:rPr>
        <w:footnoteReference w:id="13"/>
      </w:r>
      <w:r w:rsidR="00B14A41">
        <w:t>.</w:t>
      </w:r>
    </w:p>
    <w:p w14:paraId="3C512E5D" w14:textId="0A4337AC" w:rsidR="00CA3FF4" w:rsidRPr="00F87C1C" w:rsidRDefault="00CA3FF4" w:rsidP="00B14A41">
      <w:pPr>
        <w:jc w:val="both"/>
      </w:pPr>
      <w:r w:rsidRPr="00F87C1C">
        <w:t xml:space="preserve">Les projets concernant un seul pays seront </w:t>
      </w:r>
      <w:r>
        <w:t xml:space="preserve">a priori </w:t>
      </w:r>
      <w:r w:rsidRPr="00F87C1C">
        <w:t>privilégiés</w:t>
      </w:r>
      <w:r>
        <w:t>, dans l’optique de simplifier la mise en œuvre</w:t>
      </w:r>
      <w:r w:rsidRPr="00F87C1C">
        <w:t xml:space="preserve">. </w:t>
      </w:r>
      <w:r>
        <w:t>Néanmoins, d</w:t>
      </w:r>
      <w:r w:rsidRPr="00F87C1C">
        <w:t>es projets multi-pays pourront être retenus, mais des éléments de justification de ce choix devront être apportés (</w:t>
      </w:r>
      <w:r>
        <w:t xml:space="preserve">approche régionale, </w:t>
      </w:r>
      <w:r w:rsidRPr="00F87C1C">
        <w:t>capitalisation d’expériences dans des contextes variés, possibilité de coopération sud-sud…).</w:t>
      </w:r>
      <w:r w:rsidR="00F50982">
        <w:t xml:space="preserve"> </w:t>
      </w:r>
    </w:p>
    <w:p w14:paraId="1CFCAB55" w14:textId="535E8EC4" w:rsidR="00CA3FF4" w:rsidRPr="00443133" w:rsidRDefault="007C4AD2" w:rsidP="00B14A41">
      <w:pPr>
        <w:pStyle w:val="Titre3"/>
        <w:ind w:firstLine="708"/>
      </w:pPr>
      <w:bookmarkStart w:id="24" w:name="_Toc29476272"/>
      <w:bookmarkStart w:id="25" w:name="_Toc55391571"/>
      <w:r>
        <w:t xml:space="preserve">3.1.3. </w:t>
      </w:r>
      <w:r w:rsidR="00CA3FF4" w:rsidRPr="00443133">
        <w:t>Durée des projets</w:t>
      </w:r>
      <w:bookmarkEnd w:id="24"/>
      <w:bookmarkEnd w:id="25"/>
    </w:p>
    <w:p w14:paraId="24459CEB" w14:textId="1C4E3BA4" w:rsidR="00CA3FF4" w:rsidRPr="000545FF" w:rsidRDefault="00CA3FF4" w:rsidP="007E0CE5">
      <w:pPr>
        <w:pStyle w:val="NormalWeb"/>
        <w:spacing w:after="0"/>
        <w:jc w:val="both"/>
        <w:rPr>
          <w:rFonts w:asciiTheme="minorHAnsi" w:hAnsiTheme="minorHAnsi" w:cstheme="minorHAnsi"/>
          <w:color w:val="000000"/>
          <w:sz w:val="22"/>
          <w:szCs w:val="22"/>
        </w:rPr>
      </w:pPr>
      <w:r w:rsidRPr="000545FF">
        <w:rPr>
          <w:rFonts w:asciiTheme="minorHAnsi" w:hAnsiTheme="minorHAnsi" w:cstheme="minorHAnsi"/>
          <w:color w:val="000000"/>
          <w:sz w:val="22"/>
          <w:szCs w:val="22"/>
        </w:rPr>
        <w:t xml:space="preserve">La durée moyenne d’un projet FISONG est classiquement de </w:t>
      </w:r>
      <w:r w:rsidR="00F50982">
        <w:rPr>
          <w:rFonts w:asciiTheme="minorHAnsi" w:hAnsiTheme="minorHAnsi" w:cstheme="minorHAnsi"/>
          <w:color w:val="000000"/>
          <w:sz w:val="22"/>
          <w:szCs w:val="22"/>
        </w:rPr>
        <w:t>3</w:t>
      </w:r>
      <w:r w:rsidR="00F50982" w:rsidRPr="000545FF">
        <w:rPr>
          <w:rFonts w:asciiTheme="minorHAnsi" w:hAnsiTheme="minorHAnsi" w:cstheme="minorHAnsi"/>
          <w:color w:val="000000"/>
          <w:sz w:val="22"/>
          <w:szCs w:val="22"/>
        </w:rPr>
        <w:t xml:space="preserve"> </w:t>
      </w:r>
      <w:r w:rsidRPr="000545FF">
        <w:rPr>
          <w:rFonts w:asciiTheme="minorHAnsi" w:hAnsiTheme="minorHAnsi" w:cstheme="minorHAnsi"/>
          <w:color w:val="000000"/>
          <w:sz w:val="22"/>
          <w:szCs w:val="22"/>
        </w:rPr>
        <w:t>ans. Dans le cadre du présent appel à projets, la durée des projets pourra atteindre</w:t>
      </w:r>
      <w:r w:rsidR="00F50982">
        <w:rPr>
          <w:rFonts w:asciiTheme="minorHAnsi" w:hAnsiTheme="minorHAnsi" w:cstheme="minorHAnsi"/>
          <w:color w:val="000000"/>
          <w:sz w:val="22"/>
          <w:szCs w:val="22"/>
        </w:rPr>
        <w:t xml:space="preserve"> </w:t>
      </w:r>
      <w:r w:rsidRPr="000545FF">
        <w:rPr>
          <w:rFonts w:asciiTheme="minorHAnsi" w:hAnsiTheme="minorHAnsi" w:cstheme="minorHAnsi"/>
          <w:color w:val="000000"/>
          <w:sz w:val="22"/>
          <w:szCs w:val="22"/>
        </w:rPr>
        <w:t>5 ans</w:t>
      </w:r>
      <w:r w:rsidR="00F50982">
        <w:rPr>
          <w:rFonts w:asciiTheme="minorHAnsi" w:hAnsiTheme="minorHAnsi" w:cstheme="minorHAnsi"/>
          <w:color w:val="000000"/>
          <w:sz w:val="22"/>
          <w:szCs w:val="22"/>
        </w:rPr>
        <w:t xml:space="preserve"> si la pertinence de cette temporalité est étayée</w:t>
      </w:r>
      <w:r w:rsidR="00DA1526">
        <w:rPr>
          <w:rFonts w:asciiTheme="minorHAnsi" w:hAnsiTheme="minorHAnsi" w:cstheme="minorHAnsi"/>
          <w:color w:val="000000"/>
          <w:sz w:val="22"/>
          <w:szCs w:val="22"/>
        </w:rPr>
        <w:t> ;</w:t>
      </w:r>
      <w:r w:rsidR="00DA1526" w:rsidRPr="000545FF">
        <w:rPr>
          <w:rFonts w:asciiTheme="minorHAnsi" w:hAnsiTheme="minorHAnsi" w:cstheme="minorHAnsi"/>
          <w:color w:val="000000"/>
          <w:sz w:val="22"/>
          <w:szCs w:val="22"/>
        </w:rPr>
        <w:t xml:space="preserve"> </w:t>
      </w:r>
      <w:r w:rsidRPr="000545FF">
        <w:rPr>
          <w:rFonts w:asciiTheme="minorHAnsi" w:hAnsiTheme="minorHAnsi" w:cstheme="minorHAnsi"/>
          <w:color w:val="000000"/>
          <w:sz w:val="22"/>
          <w:szCs w:val="22"/>
        </w:rPr>
        <w:t>une évaluation à mi-parcours sera</w:t>
      </w:r>
      <w:r w:rsidR="00E82F56">
        <w:rPr>
          <w:rFonts w:asciiTheme="minorHAnsi" w:hAnsiTheme="minorHAnsi" w:cstheme="minorHAnsi"/>
          <w:color w:val="000000"/>
          <w:sz w:val="22"/>
          <w:szCs w:val="22"/>
        </w:rPr>
        <w:t xml:space="preserve"> également</w:t>
      </w:r>
      <w:r w:rsidRPr="000545FF">
        <w:rPr>
          <w:rFonts w:asciiTheme="minorHAnsi" w:hAnsiTheme="minorHAnsi" w:cstheme="minorHAnsi"/>
          <w:color w:val="000000"/>
          <w:sz w:val="22"/>
          <w:szCs w:val="22"/>
        </w:rPr>
        <w:t xml:space="preserve"> requise</w:t>
      </w:r>
      <w:r w:rsidR="00DA1526">
        <w:rPr>
          <w:rFonts w:asciiTheme="minorHAnsi" w:hAnsiTheme="minorHAnsi" w:cstheme="minorHAnsi"/>
          <w:color w:val="000000"/>
          <w:sz w:val="22"/>
          <w:szCs w:val="22"/>
        </w:rPr>
        <w:t xml:space="preserve"> si la durée du projet dépasse 3 ans</w:t>
      </w:r>
      <w:r w:rsidRPr="000545FF">
        <w:rPr>
          <w:rFonts w:asciiTheme="minorHAnsi" w:hAnsiTheme="minorHAnsi" w:cstheme="minorHAnsi"/>
          <w:color w:val="000000"/>
          <w:sz w:val="22"/>
          <w:szCs w:val="22"/>
        </w:rPr>
        <w:t>. Cette évaluation devra être intégrée au plan de financement et au pilotage du projet.</w:t>
      </w:r>
    </w:p>
    <w:p w14:paraId="67E999D0" w14:textId="738B04E4" w:rsidR="00CA3FF4" w:rsidRPr="00443133" w:rsidRDefault="007C4AD2" w:rsidP="00B14A41">
      <w:pPr>
        <w:pStyle w:val="Titre3"/>
        <w:keepLines w:val="0"/>
        <w:numPr>
          <w:ilvl w:val="2"/>
          <w:numId w:val="0"/>
        </w:numPr>
        <w:spacing w:before="240" w:after="240" w:line="240" w:lineRule="auto"/>
        <w:ind w:firstLine="708"/>
        <w:jc w:val="both"/>
      </w:pPr>
      <w:bookmarkStart w:id="26" w:name="_Toc29476273"/>
      <w:bookmarkStart w:id="27" w:name="_Toc55391572"/>
      <w:r>
        <w:t xml:space="preserve">3.1.4. </w:t>
      </w:r>
      <w:r w:rsidR="00CA3FF4" w:rsidRPr="00443133">
        <w:t>Bénéficiaires</w:t>
      </w:r>
      <w:bookmarkEnd w:id="26"/>
      <w:bookmarkEnd w:id="27"/>
    </w:p>
    <w:p w14:paraId="45A950A7" w14:textId="0A095AED" w:rsidR="00351277" w:rsidRDefault="00CA3FF4" w:rsidP="000545FF">
      <w:pPr>
        <w:jc w:val="both"/>
      </w:pPr>
      <w:r w:rsidRPr="00183481">
        <w:rPr>
          <w:rFonts w:cstheme="minorHAnsi"/>
        </w:rPr>
        <w:t>Les</w:t>
      </w:r>
      <w:r w:rsidR="00804B2E">
        <w:rPr>
          <w:rFonts w:cstheme="minorHAnsi"/>
        </w:rPr>
        <w:t xml:space="preserve"> principa</w:t>
      </w:r>
      <w:r w:rsidR="00AF691A">
        <w:rPr>
          <w:rFonts w:cstheme="minorHAnsi"/>
        </w:rPr>
        <w:t>ux</w:t>
      </w:r>
      <w:r w:rsidRPr="00183481">
        <w:rPr>
          <w:rFonts w:cstheme="minorHAnsi"/>
        </w:rPr>
        <w:t xml:space="preserve"> bénéficiaires directs seront</w:t>
      </w:r>
      <w:r w:rsidR="00072C4E">
        <w:rPr>
          <w:rFonts w:cstheme="minorHAnsi"/>
        </w:rPr>
        <w:t xml:space="preserve"> </w:t>
      </w:r>
      <w:r w:rsidR="00804B2E">
        <w:rPr>
          <w:rFonts w:cstheme="minorHAnsi"/>
        </w:rPr>
        <w:t>l</w:t>
      </w:r>
      <w:r w:rsidR="00C864F9" w:rsidRPr="000545FF">
        <w:t>es</w:t>
      </w:r>
      <w:r w:rsidR="00EC3D51">
        <w:t xml:space="preserve"> populations migrantes</w:t>
      </w:r>
      <w:r w:rsidR="00A07426">
        <w:t xml:space="preserve"> vulnérables</w:t>
      </w:r>
      <w:r w:rsidR="00EC3D51">
        <w:t xml:space="preserve"> </w:t>
      </w:r>
      <w:r w:rsidRPr="000545FF">
        <w:t>ciblées prioritairement par le projet</w:t>
      </w:r>
      <w:r w:rsidR="00A07426">
        <w:t xml:space="preserve">, en particulier </w:t>
      </w:r>
      <w:r w:rsidR="00E82F56">
        <w:t xml:space="preserve">les </w:t>
      </w:r>
      <w:r w:rsidR="00A07426">
        <w:t>déplacé</w:t>
      </w:r>
      <w:r w:rsidR="00072C4E">
        <w:t>-e-</w:t>
      </w:r>
      <w:r w:rsidR="00A07426">
        <w:t>s forcé</w:t>
      </w:r>
      <w:r w:rsidR="00072C4E">
        <w:t>-e-</w:t>
      </w:r>
      <w:r w:rsidR="00A07426">
        <w:t>s</w:t>
      </w:r>
      <w:r w:rsidR="00E82F56">
        <w:t>,</w:t>
      </w:r>
      <w:r w:rsidR="00A07426">
        <w:t xml:space="preserve"> réfugié</w:t>
      </w:r>
      <w:r w:rsidR="00072C4E">
        <w:t>-e-</w:t>
      </w:r>
      <w:r w:rsidR="00A07426">
        <w:t>s</w:t>
      </w:r>
      <w:r w:rsidR="00E82F56">
        <w:t xml:space="preserve"> ou non</w:t>
      </w:r>
      <w:r w:rsidR="00A07426">
        <w:t xml:space="preserve">, mais également </w:t>
      </w:r>
      <w:r w:rsidR="00E82F56">
        <w:t xml:space="preserve">les </w:t>
      </w:r>
      <w:r w:rsidR="00A07426">
        <w:t>migrant</w:t>
      </w:r>
      <w:r w:rsidR="00072C4E">
        <w:t>-e-</w:t>
      </w:r>
      <w:r w:rsidR="00A07426">
        <w:t>s économiques vulnérables</w:t>
      </w:r>
      <w:r w:rsidR="00C864F9" w:rsidRPr="000545FF">
        <w:t>. En fonction du contexte d’intervention,</w:t>
      </w:r>
      <w:r w:rsidRPr="000545FF">
        <w:t xml:space="preserve"> les populations hôtes </w:t>
      </w:r>
      <w:r w:rsidR="00C864F9" w:rsidRPr="000545FF">
        <w:t>pourront également être inclues</w:t>
      </w:r>
      <w:r w:rsidR="00351277">
        <w:t>, notamment si elles ont aussi des besoins non satisfaits de services financier</w:t>
      </w:r>
      <w:r w:rsidR="00462E87">
        <w:t>s</w:t>
      </w:r>
      <w:r w:rsidR="00351277">
        <w:t>. D’abord pour</w:t>
      </w:r>
      <w:r w:rsidR="00C864F9" w:rsidRPr="000545FF">
        <w:t xml:space="preserve"> ne pas </w:t>
      </w:r>
      <w:r w:rsidR="007C4AD2">
        <w:t>susciter</w:t>
      </w:r>
      <w:r w:rsidR="007C4AD2" w:rsidRPr="000545FF">
        <w:t xml:space="preserve"> </w:t>
      </w:r>
      <w:r w:rsidR="00C864F9" w:rsidRPr="000545FF">
        <w:t>de tension</w:t>
      </w:r>
      <w:r w:rsidR="007C4AD2">
        <w:t>s</w:t>
      </w:r>
      <w:r w:rsidR="00A07426">
        <w:t xml:space="preserve"> dans le cadre d’une approche </w:t>
      </w:r>
      <w:r w:rsidR="00462E87">
        <w:t>« </w:t>
      </w:r>
      <w:r w:rsidR="00A07426">
        <w:t>ne pas nuire</w:t>
      </w:r>
      <w:r w:rsidR="00462E87">
        <w:t> »</w:t>
      </w:r>
      <w:r w:rsidR="00351277">
        <w:t>, mais aussi pour que le projet s’inscrive dans une démarche d’intégration territoriale des populations migrantes</w:t>
      </w:r>
      <w:r w:rsidR="00462E87">
        <w:t>.</w:t>
      </w:r>
      <w:r w:rsidR="00AF691A">
        <w:t xml:space="preserve"> Au regard de leur plus grande vulnérabilité, le projet devra être conçue de telle manière à ce que les femmes puissent, a minima, accéder de manière équitable aux bénéfices du projet.</w:t>
      </w:r>
    </w:p>
    <w:p w14:paraId="36BD4D03" w14:textId="6C65C519" w:rsidR="00CA3FF4" w:rsidRPr="000545FF" w:rsidRDefault="00804B2E" w:rsidP="000545FF">
      <w:pPr>
        <w:jc w:val="both"/>
      </w:pPr>
      <w:r>
        <w:t xml:space="preserve">En </w:t>
      </w:r>
      <w:r w:rsidRPr="00183481">
        <w:t xml:space="preserve">fonction de l’approche </w:t>
      </w:r>
      <w:r w:rsidR="00351277">
        <w:t xml:space="preserve">partenariale </w:t>
      </w:r>
      <w:r w:rsidRPr="00183481">
        <w:t>retenue, d’autres bénéficiaires peuvent être identifiés et notamment :</w:t>
      </w:r>
    </w:p>
    <w:p w14:paraId="1740439C" w14:textId="4B8F5300" w:rsidR="00CA3FF4" w:rsidRPr="000545FF" w:rsidRDefault="00E82F56" w:rsidP="00CA3FF4">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CA3FF4" w:rsidRPr="000545FF">
        <w:rPr>
          <w:rFonts w:asciiTheme="minorHAnsi" w:hAnsiTheme="minorHAnsi" w:cstheme="minorHAnsi"/>
          <w:color w:val="000000"/>
          <w:sz w:val="22"/>
          <w:szCs w:val="22"/>
        </w:rPr>
        <w:t>es</w:t>
      </w:r>
      <w:r w:rsidR="00804B2E" w:rsidRPr="000545FF">
        <w:rPr>
          <w:rFonts w:asciiTheme="minorHAnsi" w:hAnsiTheme="minorHAnsi" w:cstheme="minorHAnsi"/>
          <w:color w:val="000000"/>
          <w:sz w:val="22"/>
          <w:szCs w:val="22"/>
        </w:rPr>
        <w:t xml:space="preserve"> institutions financières locales ou autres fournisseurs de services financiers</w:t>
      </w:r>
      <w:r w:rsidR="00CA3FF4" w:rsidRPr="000545FF">
        <w:rPr>
          <w:rFonts w:asciiTheme="minorHAnsi" w:hAnsiTheme="minorHAnsi" w:cstheme="minorHAnsi"/>
          <w:color w:val="000000"/>
          <w:sz w:val="22"/>
          <w:szCs w:val="22"/>
        </w:rPr>
        <w:t xml:space="preserve"> ; mais aussi</w:t>
      </w:r>
    </w:p>
    <w:p w14:paraId="6B6BCC46" w14:textId="547014EB" w:rsidR="00183481" w:rsidRPr="000545FF" w:rsidRDefault="00E82F56" w:rsidP="00183481">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0545FF">
        <w:rPr>
          <w:rFonts w:asciiTheme="minorHAnsi" w:hAnsiTheme="minorHAnsi" w:cstheme="minorHAnsi"/>
          <w:color w:val="000000"/>
          <w:sz w:val="22"/>
          <w:szCs w:val="22"/>
        </w:rPr>
        <w:t>Les</w:t>
      </w:r>
      <w:r w:rsidR="00C64E84">
        <w:rPr>
          <w:rFonts w:asciiTheme="minorHAnsi" w:hAnsiTheme="minorHAnsi" w:cstheme="minorHAnsi"/>
          <w:color w:val="000000"/>
          <w:sz w:val="22"/>
          <w:szCs w:val="22"/>
        </w:rPr>
        <w:t xml:space="preserve"> OSC locales</w:t>
      </w:r>
      <w:r>
        <w:rPr>
          <w:rFonts w:asciiTheme="minorHAnsi" w:hAnsiTheme="minorHAnsi" w:cstheme="minorHAnsi"/>
          <w:color w:val="000000"/>
          <w:sz w:val="22"/>
          <w:szCs w:val="22"/>
        </w:rPr>
        <w:t xml:space="preserve"> </w:t>
      </w:r>
      <w:r w:rsidRPr="00E82F56">
        <w:rPr>
          <w:rFonts w:asciiTheme="minorHAnsi" w:hAnsiTheme="minorHAnsi" w:cstheme="minorHAnsi"/>
          <w:color w:val="000000"/>
          <w:sz w:val="22"/>
          <w:szCs w:val="22"/>
        </w:rPr>
        <w:t>d’accompagnement à différents types de services utile pour l’inclusion financière</w:t>
      </w:r>
      <w:r>
        <w:rPr>
          <w:rFonts w:asciiTheme="minorHAnsi" w:hAnsiTheme="minorHAnsi" w:cstheme="minorHAnsi"/>
          <w:color w:val="000000"/>
          <w:sz w:val="22"/>
          <w:szCs w:val="22"/>
        </w:rPr>
        <w:t xml:space="preserve"> (état civil</w:t>
      </w:r>
      <w:r w:rsidRPr="00E82F56">
        <w:rPr>
          <w:rFonts w:asciiTheme="minorHAnsi" w:hAnsiTheme="minorHAnsi" w:cstheme="minorHAnsi"/>
          <w:color w:val="000000"/>
          <w:sz w:val="22"/>
          <w:szCs w:val="22"/>
        </w:rPr>
        <w:t xml:space="preserve">, accès aux droits, </w:t>
      </w:r>
      <w:r>
        <w:rPr>
          <w:rFonts w:asciiTheme="minorHAnsi" w:hAnsiTheme="minorHAnsi" w:cstheme="minorHAnsi"/>
          <w:color w:val="000000"/>
          <w:sz w:val="22"/>
          <w:szCs w:val="22"/>
        </w:rPr>
        <w:t>aide à l’insertion économique</w:t>
      </w:r>
      <w:r w:rsidRPr="00E82F56">
        <w:rPr>
          <w:rFonts w:asciiTheme="minorHAnsi" w:hAnsiTheme="minorHAnsi" w:cstheme="minorHAnsi"/>
          <w:color w:val="000000"/>
          <w:sz w:val="22"/>
          <w:szCs w:val="22"/>
        </w:rPr>
        <w:t>,</w:t>
      </w:r>
      <w:r>
        <w:rPr>
          <w:rFonts w:asciiTheme="minorHAnsi" w:hAnsiTheme="minorHAnsi" w:cstheme="minorHAnsi"/>
          <w:color w:val="000000"/>
          <w:sz w:val="22"/>
          <w:szCs w:val="22"/>
        </w:rPr>
        <w:t xml:space="preserve"> formation, éducation financière,</w:t>
      </w:r>
      <w:r w:rsidRPr="00E82F56">
        <w:rPr>
          <w:rFonts w:asciiTheme="minorHAnsi" w:hAnsiTheme="minorHAnsi" w:cstheme="minorHAnsi"/>
          <w:color w:val="000000"/>
          <w:sz w:val="22"/>
          <w:szCs w:val="22"/>
        </w:rPr>
        <w:t xml:space="preserve"> alphabétisation etc</w:t>
      </w:r>
      <w:r>
        <w:rPr>
          <w:rFonts w:asciiTheme="minorHAnsi" w:hAnsiTheme="minorHAnsi" w:cstheme="minorHAnsi"/>
          <w:color w:val="000000"/>
          <w:sz w:val="22"/>
          <w:szCs w:val="22"/>
        </w:rPr>
        <w:t>.)</w:t>
      </w:r>
      <w:r w:rsidR="00C64E84">
        <w:rPr>
          <w:rFonts w:asciiTheme="minorHAnsi" w:hAnsiTheme="minorHAnsi" w:cstheme="minorHAnsi"/>
          <w:color w:val="000000"/>
          <w:sz w:val="22"/>
          <w:szCs w:val="22"/>
        </w:rPr>
        <w:t xml:space="preserve"> et les</w:t>
      </w:r>
      <w:r w:rsidR="00804B2E" w:rsidRPr="000545FF">
        <w:rPr>
          <w:rFonts w:asciiTheme="minorHAnsi" w:hAnsiTheme="minorHAnsi" w:cstheme="minorHAnsi"/>
          <w:color w:val="000000"/>
          <w:sz w:val="22"/>
          <w:szCs w:val="22"/>
        </w:rPr>
        <w:t xml:space="preserve"> associations professionnelles du secteur financier (association des banques, associations des acteurs de la microfinance, etc.) ;</w:t>
      </w:r>
    </w:p>
    <w:p w14:paraId="2F361391" w14:textId="77777777" w:rsidR="00CA3FF4" w:rsidRPr="00183481" w:rsidRDefault="00CA3FF4" w:rsidP="000545FF">
      <w:pPr>
        <w:pStyle w:val="NormalWeb"/>
        <w:spacing w:before="60" w:beforeAutospacing="0" w:after="0" w:afterAutospacing="0"/>
        <w:ind w:left="714"/>
        <w:jc w:val="both"/>
        <w:rPr>
          <w:rFonts w:cstheme="minorHAnsi"/>
        </w:rPr>
      </w:pPr>
    </w:p>
    <w:p w14:paraId="3F8D42AD" w14:textId="1F57765F" w:rsidR="00CA3FF4" w:rsidRDefault="007C4AD2" w:rsidP="00B862BD">
      <w:pPr>
        <w:pStyle w:val="Titre3"/>
        <w:ind w:firstLine="708"/>
      </w:pPr>
      <w:bookmarkStart w:id="28" w:name="_Toc29476274"/>
      <w:bookmarkStart w:id="29" w:name="_Toc55391573"/>
      <w:r>
        <w:lastRenderedPageBreak/>
        <w:t xml:space="preserve">3.1.5. </w:t>
      </w:r>
      <w:r w:rsidR="00CA3FF4" w:rsidRPr="00443133">
        <w:t>Approche genre</w:t>
      </w:r>
      <w:bookmarkEnd w:id="28"/>
      <w:bookmarkEnd w:id="29"/>
    </w:p>
    <w:p w14:paraId="74B4D59A" w14:textId="23C8D064" w:rsidR="0016109A" w:rsidRDefault="0016109A">
      <w:pPr>
        <w:jc w:val="both"/>
      </w:pPr>
      <w:r>
        <w:t>La Boîte à outils Genre – Appui au secteur privé, entrepreneuriat et inclusion financière publiée par l’AFD en 2015 liste les principaux enjeux d’une intégration d’une perspective de genre dans les projets d’inclusion financière.</w:t>
      </w:r>
    </w:p>
    <w:p w14:paraId="6B823F34" w14:textId="2AAC4AAA" w:rsidR="00F273C6" w:rsidRDefault="0016109A" w:rsidP="000269EE">
      <w:pPr>
        <w:jc w:val="both"/>
      </w:pPr>
      <w:r>
        <w:t>Pour répondre à ces enjeux, c</w:t>
      </w:r>
      <w:r w:rsidR="00F273C6">
        <w:t>haque proposition devra proposer une analyse Genre reposant sur :</w:t>
      </w:r>
    </w:p>
    <w:p w14:paraId="43397023" w14:textId="04971612" w:rsidR="00F273C6" w:rsidRDefault="00E82F56" w:rsidP="000269EE">
      <w:pPr>
        <w:pStyle w:val="Paragraphedeliste"/>
        <w:numPr>
          <w:ilvl w:val="0"/>
          <w:numId w:val="59"/>
        </w:numPr>
        <w:jc w:val="both"/>
      </w:pPr>
      <w:r>
        <w:t>La</w:t>
      </w:r>
      <w:r w:rsidR="00F273C6">
        <w:t xml:space="preserve"> collecte des informations contextuelles de base sur les enjeux de genre en s’appuyant sur des données sexo-spécifiques quantitatives et qualitatives disponibles</w:t>
      </w:r>
      <w:r w:rsidR="00072C4E">
        <w:t xml:space="preserve"> et l’identification des données sexo-spécifiques manquantes</w:t>
      </w:r>
      <w:r w:rsidR="00F273C6">
        <w:t xml:space="preserve"> ;</w:t>
      </w:r>
    </w:p>
    <w:p w14:paraId="2A3C8574" w14:textId="1783CB62" w:rsidR="00F273C6" w:rsidRDefault="00E82F56" w:rsidP="000269EE">
      <w:pPr>
        <w:pStyle w:val="Paragraphedeliste"/>
        <w:numPr>
          <w:ilvl w:val="0"/>
          <w:numId w:val="59"/>
        </w:numPr>
        <w:jc w:val="both"/>
      </w:pPr>
      <w:r>
        <w:t>La</w:t>
      </w:r>
      <w:r w:rsidR="00F273C6">
        <w:t xml:space="preserve"> comparaison</w:t>
      </w:r>
      <w:r w:rsidR="00A07426">
        <w:t xml:space="preserve"> dans l’analyse des vulnérabilités</w:t>
      </w:r>
      <w:r w:rsidR="00F273C6">
        <w:t xml:space="preserve"> de la situation entre les femmes et les hommes et l’identification des inégalités de genre (écarts et inégalités femmes-hommes dans le secteur, rôles et attitudes, accès et contrôle des ressources, participation à la prise de décision, besoins et contraintes spécifiques dans l’accès aux bénéfices du projet) ainsi que de leurs causes ;</w:t>
      </w:r>
    </w:p>
    <w:p w14:paraId="17FFF120" w14:textId="0C6A5848" w:rsidR="00F273C6" w:rsidRDefault="00E82F56" w:rsidP="000269EE">
      <w:pPr>
        <w:pStyle w:val="Paragraphedeliste"/>
        <w:numPr>
          <w:ilvl w:val="0"/>
          <w:numId w:val="59"/>
        </w:numPr>
        <w:jc w:val="both"/>
      </w:pPr>
      <w:r>
        <w:t>L</w:t>
      </w:r>
      <w:r w:rsidR="00F273C6">
        <w:t xml:space="preserve">’identification des risques et opportunités du projet pour promouvoir activement l’égalité des sexes </w:t>
      </w:r>
      <w:r w:rsidR="00072C4E">
        <w:t xml:space="preserve">(et donc réduire les écarts de genre existants) </w:t>
      </w:r>
      <w:r w:rsidR="00F273C6">
        <w:t xml:space="preserve">et/ou mener des activités d’empowerment des femmes et des hommes ; </w:t>
      </w:r>
    </w:p>
    <w:p w14:paraId="3AD7F157" w14:textId="32ED89CA" w:rsidR="00F273C6" w:rsidRDefault="00E82F56" w:rsidP="000269EE">
      <w:pPr>
        <w:pStyle w:val="Paragraphedeliste"/>
        <w:numPr>
          <w:ilvl w:val="0"/>
          <w:numId w:val="59"/>
        </w:numPr>
        <w:jc w:val="both"/>
      </w:pPr>
      <w:r>
        <w:t>L</w:t>
      </w:r>
      <w:r w:rsidR="00F273C6">
        <w:t>’identification des partenaires qui pourraient jouer un rôle dans la mise en œuvre et la promotion et l’analyse des capacités des autres partenaires du projet en la matière</w:t>
      </w:r>
      <w:r w:rsidR="00072C4E">
        <w:t>.</w:t>
      </w:r>
    </w:p>
    <w:p w14:paraId="0270A4B6" w14:textId="16C5A4B0" w:rsidR="00F273C6" w:rsidRDefault="00F273C6" w:rsidP="000269EE">
      <w:pPr>
        <w:jc w:val="both"/>
      </w:pPr>
      <w:r>
        <w:t xml:space="preserve">Les projets proposés devront intégrer des objectifs Genre et une véritable stratégie pour réaliser </w:t>
      </w:r>
      <w:r w:rsidR="00077B14">
        <w:t>ces objectif</w:t>
      </w:r>
      <w:r w:rsidR="008056A4">
        <w:t>s</w:t>
      </w:r>
      <w:r w:rsidR="00077B14">
        <w:t xml:space="preserve"> qui pourra reposer sur :</w:t>
      </w:r>
    </w:p>
    <w:p w14:paraId="75AED0DE" w14:textId="77777777" w:rsidR="00077B14" w:rsidRDefault="00077B14" w:rsidP="00AF691A">
      <w:pPr>
        <w:pStyle w:val="Paragraphedeliste"/>
        <w:numPr>
          <w:ilvl w:val="0"/>
          <w:numId w:val="59"/>
        </w:numPr>
        <w:jc w:val="both"/>
      </w:pPr>
      <w:r>
        <w:t xml:space="preserve">des objectifs Genre pour le projet, </w:t>
      </w:r>
    </w:p>
    <w:p w14:paraId="6168876A" w14:textId="669504AC" w:rsidR="00077B14" w:rsidRDefault="00077B14" w:rsidP="00AF691A">
      <w:pPr>
        <w:pStyle w:val="Paragraphedeliste"/>
        <w:numPr>
          <w:ilvl w:val="0"/>
          <w:numId w:val="59"/>
        </w:numPr>
        <w:jc w:val="both"/>
      </w:pPr>
      <w:r>
        <w:t>des activités liées et des indicateurs</w:t>
      </w:r>
      <w:r w:rsidR="00072C4E">
        <w:t xml:space="preserve"> sexo-spécifiques, quantitatifs et qualitatifs</w:t>
      </w:r>
      <w:r>
        <w:t>,</w:t>
      </w:r>
    </w:p>
    <w:p w14:paraId="02E2C3D6" w14:textId="77777777" w:rsidR="00077B14" w:rsidRDefault="00077B14" w:rsidP="00AF691A">
      <w:pPr>
        <w:pStyle w:val="Paragraphedeliste"/>
        <w:numPr>
          <w:ilvl w:val="0"/>
          <w:numId w:val="59"/>
        </w:numPr>
        <w:jc w:val="both"/>
      </w:pPr>
      <w:r>
        <w:t>des stratégies de mise en œuvre sensibles au genre pour répondre aux objectifs du projet,</w:t>
      </w:r>
    </w:p>
    <w:p w14:paraId="2E898D97" w14:textId="77777777" w:rsidR="00077B14" w:rsidRDefault="00077B14" w:rsidP="00AF691A">
      <w:pPr>
        <w:pStyle w:val="Paragraphedeliste"/>
        <w:numPr>
          <w:ilvl w:val="0"/>
          <w:numId w:val="59"/>
        </w:numPr>
        <w:jc w:val="both"/>
      </w:pPr>
      <w:r>
        <w:t xml:space="preserve">des solutions techniques sensibles au genre, </w:t>
      </w:r>
    </w:p>
    <w:p w14:paraId="770A721B" w14:textId="77777777" w:rsidR="00077B14" w:rsidRDefault="00077B14" w:rsidP="00AF691A">
      <w:pPr>
        <w:pStyle w:val="Paragraphedeliste"/>
        <w:numPr>
          <w:ilvl w:val="0"/>
          <w:numId w:val="59"/>
        </w:numPr>
        <w:jc w:val="both"/>
      </w:pPr>
      <w:r>
        <w:t xml:space="preserve">des principes de participation des femmes et des hommes aux processus de décision du projet, </w:t>
      </w:r>
    </w:p>
    <w:p w14:paraId="4A7AD619" w14:textId="77777777" w:rsidR="00077B14" w:rsidRDefault="00077B14" w:rsidP="00AF691A">
      <w:pPr>
        <w:pStyle w:val="Paragraphedeliste"/>
        <w:numPr>
          <w:ilvl w:val="0"/>
          <w:numId w:val="59"/>
        </w:numPr>
        <w:jc w:val="both"/>
      </w:pPr>
      <w:r>
        <w:t xml:space="preserve">des actions correctives pour atténuer les risques (partage inéquitable des bénéfices du projet, dégradation des conditions de vie des femmes…), </w:t>
      </w:r>
    </w:p>
    <w:p w14:paraId="70A087F2" w14:textId="77777777" w:rsidR="00077B14" w:rsidRDefault="00077B14" w:rsidP="00AF691A">
      <w:pPr>
        <w:pStyle w:val="Paragraphedeliste"/>
        <w:numPr>
          <w:ilvl w:val="0"/>
          <w:numId w:val="59"/>
        </w:numPr>
        <w:jc w:val="both"/>
      </w:pPr>
      <w:r>
        <w:t xml:space="preserve">des actions de sensibilisation et de renforcement de capacités des partenaires du projet, </w:t>
      </w:r>
    </w:p>
    <w:p w14:paraId="5EF3B71B" w14:textId="2EB9165A" w:rsidR="00077B14" w:rsidRDefault="00077B14" w:rsidP="00AF691A">
      <w:pPr>
        <w:pStyle w:val="Paragraphedeliste"/>
        <w:numPr>
          <w:ilvl w:val="0"/>
          <w:numId w:val="59"/>
        </w:numPr>
        <w:jc w:val="both"/>
      </w:pPr>
      <w:r>
        <w:t>de potentiels partenariats avec des acteurs nationaux et/ou sectoriels dans le champ d’influence du projet.</w:t>
      </w:r>
    </w:p>
    <w:p w14:paraId="0DB6C978" w14:textId="4CEC76CE" w:rsidR="0016109A" w:rsidRDefault="0016109A" w:rsidP="00072C4E">
      <w:pPr>
        <w:jc w:val="both"/>
      </w:pPr>
      <w:r>
        <w:t xml:space="preserve">Ce point sera évalué et perçu comme une valeur ajoutée dans la sélection des projets soutenus. Les ONG sont encouragées à consulter et utiliser la Boîte à outils genre susmentionnée et accessible </w:t>
      </w:r>
      <w:hyperlink r:id="rId10" w:history="1">
        <w:r w:rsidR="008056A4" w:rsidRPr="008056A4">
          <w:rPr>
            <w:rStyle w:val="Lienhypertexte"/>
          </w:rPr>
          <w:t>ici</w:t>
        </w:r>
      </w:hyperlink>
      <w:r>
        <w:t>.</w:t>
      </w:r>
    </w:p>
    <w:p w14:paraId="163BA02D" w14:textId="78B376DF" w:rsidR="0016109A" w:rsidRDefault="0016109A" w:rsidP="00072C4E">
      <w:pPr>
        <w:jc w:val="both"/>
      </w:pPr>
      <w:r>
        <w:t xml:space="preserve">Par ailleurs, en collaboration avec l’AFD, le F3E a mis en place un dispositif d’accompagnement des ONG pour renforcer la prise en compte du genre dans leurs projets. Ce dispositif sera activé pour la présente FISONG avec :  </w:t>
      </w:r>
    </w:p>
    <w:p w14:paraId="2C5AEED6" w14:textId="120224EE" w:rsidR="0016109A" w:rsidRPr="000545FF" w:rsidRDefault="00AF691A" w:rsidP="00875F65">
      <w:pPr>
        <w:pStyle w:val="NormalWeb"/>
        <w:numPr>
          <w:ilvl w:val="0"/>
          <w:numId w:val="36"/>
        </w:numPr>
        <w:jc w:val="both"/>
        <w:rPr>
          <w:rFonts w:ascii="Calibri" w:hAnsi="Calibri" w:cs="Calibri"/>
          <w:sz w:val="22"/>
        </w:rPr>
      </w:pPr>
      <w:r w:rsidRPr="00875F65">
        <w:rPr>
          <w:rFonts w:ascii="Calibri" w:hAnsi="Calibri" w:cs="Calibri"/>
          <w:sz w:val="22"/>
        </w:rPr>
        <w:t xml:space="preserve">La rédaction d’une note d’enjeux sur l’intégration d’une perspective de genre dans l’inclusion financière des réfugié-e-s, déplacé-e-s ou migrant-e-s temporaires intra-continentaux </w:t>
      </w:r>
      <w:r w:rsidR="0016109A" w:rsidRPr="000545FF">
        <w:rPr>
          <w:rFonts w:ascii="Calibri" w:hAnsi="Calibri" w:cs="Calibri"/>
          <w:sz w:val="22"/>
        </w:rPr>
        <w:t>;</w:t>
      </w:r>
    </w:p>
    <w:p w14:paraId="2F6C4C5D" w14:textId="77777777" w:rsidR="00AF691A" w:rsidRPr="00AF691A" w:rsidRDefault="00AF691A" w:rsidP="00AF691A">
      <w:pPr>
        <w:pStyle w:val="NormalWeb"/>
        <w:numPr>
          <w:ilvl w:val="0"/>
          <w:numId w:val="36"/>
        </w:numPr>
        <w:jc w:val="both"/>
        <w:rPr>
          <w:rFonts w:ascii="Calibri" w:hAnsi="Calibri" w:cs="Calibri"/>
          <w:sz w:val="22"/>
        </w:rPr>
      </w:pPr>
      <w:r w:rsidRPr="00AF691A">
        <w:rPr>
          <w:rFonts w:ascii="Calibri" w:hAnsi="Calibri" w:cs="Calibri"/>
          <w:sz w:val="22"/>
        </w:rPr>
        <w:t xml:space="preserve">Une formation-sensibilisation collective des ONG qui auront été retenues à l’intégration d’une perspective de genre dans leurs projets. Ce temps collectif pourra être élargi à des OSC travaillant sur les mêmes domaines et lieux d’intervention que les OSC sélectionnées ; </w:t>
      </w:r>
    </w:p>
    <w:p w14:paraId="2794BACD" w14:textId="639A2BEC" w:rsidR="0016109A" w:rsidRDefault="00AF691A">
      <w:pPr>
        <w:pStyle w:val="NormalWeb"/>
        <w:numPr>
          <w:ilvl w:val="0"/>
          <w:numId w:val="36"/>
        </w:numPr>
        <w:jc w:val="both"/>
        <w:rPr>
          <w:rFonts w:ascii="Calibri" w:hAnsi="Calibri" w:cs="Calibri"/>
          <w:sz w:val="22"/>
        </w:rPr>
      </w:pPr>
      <w:r w:rsidRPr="00AF691A">
        <w:rPr>
          <w:rFonts w:ascii="Calibri" w:hAnsi="Calibri" w:cs="Calibri"/>
          <w:sz w:val="22"/>
        </w:rPr>
        <w:t xml:space="preserve"> Un échange individuel avec chaque ONG retenue, afin d’élaborer un plan d’action concret au moment de la rédaction du projet</w:t>
      </w:r>
      <w:r w:rsidR="0016109A" w:rsidRPr="000545FF">
        <w:rPr>
          <w:rFonts w:ascii="Calibri" w:hAnsi="Calibri" w:cs="Calibri"/>
          <w:sz w:val="22"/>
        </w:rPr>
        <w:t>.</w:t>
      </w:r>
      <w:r w:rsidR="0016109A">
        <w:rPr>
          <w:rFonts w:ascii="Calibri" w:hAnsi="Calibri" w:cs="Calibri"/>
          <w:sz w:val="22"/>
        </w:rPr>
        <w:t> </w:t>
      </w:r>
    </w:p>
    <w:p w14:paraId="17B76C73" w14:textId="56E1DAA2" w:rsidR="00AF691A" w:rsidRPr="00AF691A" w:rsidRDefault="00AF691A" w:rsidP="00AF691A">
      <w:pPr>
        <w:pStyle w:val="NormalWeb"/>
        <w:ind w:left="360"/>
        <w:jc w:val="both"/>
        <w:rPr>
          <w:rFonts w:ascii="Calibri" w:hAnsi="Calibri" w:cs="Calibri"/>
          <w:sz w:val="22"/>
        </w:rPr>
      </w:pPr>
      <w:r w:rsidRPr="00AF691A">
        <w:rPr>
          <w:rFonts w:ascii="Calibri" w:hAnsi="Calibri" w:cs="Calibri"/>
          <w:sz w:val="22"/>
        </w:rPr>
        <w:lastRenderedPageBreak/>
        <w:t>Un accompagnement genre lors de la mise en œuvre des projets pourra éventuellement êt</w:t>
      </w:r>
      <w:r>
        <w:rPr>
          <w:rFonts w:ascii="Calibri" w:hAnsi="Calibri" w:cs="Calibri"/>
          <w:sz w:val="22"/>
        </w:rPr>
        <w:t>re mis en place ultérieurement.</w:t>
      </w:r>
    </w:p>
    <w:p w14:paraId="52F9B8A4" w14:textId="72C83717" w:rsidR="00AF691A" w:rsidRPr="000545FF" w:rsidRDefault="00AF691A" w:rsidP="00875F65">
      <w:pPr>
        <w:pStyle w:val="NormalWeb"/>
        <w:ind w:left="360"/>
        <w:jc w:val="both"/>
        <w:rPr>
          <w:rFonts w:ascii="Calibri" w:hAnsi="Calibri" w:cs="Calibri"/>
          <w:sz w:val="22"/>
        </w:rPr>
      </w:pPr>
      <w:r w:rsidRPr="00AF691A">
        <w:rPr>
          <w:rFonts w:ascii="Calibri" w:hAnsi="Calibri" w:cs="Calibri"/>
          <w:sz w:val="22"/>
        </w:rPr>
        <w:t>Cet accompagnement est gratuit et obligatoire, les OSC sélectionnées s’engagent à participer activement à cet accompagnement.</w:t>
      </w:r>
    </w:p>
    <w:p w14:paraId="48D71B80" w14:textId="77F75CDF" w:rsidR="00B862BD" w:rsidRDefault="00AE1EDB" w:rsidP="00B862BD">
      <w:pPr>
        <w:pStyle w:val="Titre2"/>
      </w:pPr>
      <w:bookmarkStart w:id="30" w:name="_Toc55391574"/>
      <w:r>
        <w:t xml:space="preserve">3.2. </w:t>
      </w:r>
      <w:r w:rsidR="00B862BD">
        <w:t>Lignes directrices détaillées</w:t>
      </w:r>
      <w:bookmarkEnd w:id="30"/>
    </w:p>
    <w:p w14:paraId="7F98C4A9" w14:textId="77777777" w:rsidR="00B862BD" w:rsidRPr="00B862BD" w:rsidRDefault="00B862BD" w:rsidP="00B862BD">
      <w:pPr>
        <w:spacing w:after="0"/>
      </w:pPr>
    </w:p>
    <w:p w14:paraId="4CE4CCB0" w14:textId="1D46C2D5" w:rsidR="00485DFA" w:rsidRDefault="00AE1EDB" w:rsidP="00B862BD">
      <w:pPr>
        <w:pStyle w:val="Titre3"/>
        <w:ind w:firstLine="708"/>
      </w:pPr>
      <w:bookmarkStart w:id="31" w:name="_Toc29476277"/>
      <w:bookmarkStart w:id="32" w:name="_Toc55391575"/>
      <w:r>
        <w:t xml:space="preserve">3.2.1. </w:t>
      </w:r>
      <w:r w:rsidR="00485DFA">
        <w:t xml:space="preserve">Cadre </w:t>
      </w:r>
      <w:r w:rsidR="00485DFA" w:rsidRPr="00EE7D3E">
        <w:t>d’intervention</w:t>
      </w:r>
      <w:bookmarkEnd w:id="31"/>
      <w:bookmarkEnd w:id="32"/>
    </w:p>
    <w:p w14:paraId="17E15A06" w14:textId="481178DE" w:rsidR="00B862BD" w:rsidRDefault="00B862BD" w:rsidP="000545FF">
      <w:pPr>
        <w:spacing w:after="0"/>
        <w:jc w:val="both"/>
      </w:pPr>
    </w:p>
    <w:p w14:paraId="008D5A47" w14:textId="4555BF21" w:rsidR="00485DFA" w:rsidRDefault="00FE498E" w:rsidP="000545FF">
      <w:pPr>
        <w:jc w:val="both"/>
      </w:pPr>
      <w:r>
        <w:rPr>
          <w:rFonts w:ascii="Calibri" w:eastAsia="Times New Roman" w:hAnsi="Calibri" w:cs="Calibri"/>
          <w:bCs/>
          <w:lang w:eastAsia="fr-FR"/>
        </w:rPr>
        <w:t>La catégorie des « migrant</w:t>
      </w:r>
      <w:r w:rsidR="004B313E">
        <w:rPr>
          <w:rFonts w:ascii="Calibri" w:eastAsia="Times New Roman" w:hAnsi="Calibri" w:cs="Calibri"/>
          <w:bCs/>
          <w:lang w:eastAsia="fr-FR"/>
        </w:rPr>
        <w:t>-e-</w:t>
      </w:r>
      <w:r>
        <w:rPr>
          <w:rFonts w:ascii="Calibri" w:eastAsia="Times New Roman" w:hAnsi="Calibri" w:cs="Calibri"/>
          <w:bCs/>
          <w:lang w:eastAsia="fr-FR"/>
        </w:rPr>
        <w:t xml:space="preserve">s » recoupe des réalités extrêmement variées, avec des besoins et des contraintes propres à chaque situation qui n’appellent pas à agir sur les mêmes leviers. </w:t>
      </w:r>
      <w:r w:rsidR="00410BF2">
        <w:rPr>
          <w:rFonts w:ascii="Calibri" w:eastAsia="Times New Roman" w:hAnsi="Calibri" w:cs="Calibri"/>
          <w:bCs/>
          <w:lang w:eastAsia="fr-FR"/>
        </w:rPr>
        <w:t xml:space="preserve">Cet appel à projets FISONG est ouvert sur cette diversité de situations, et par conséquent, d’innovations possibles. </w:t>
      </w:r>
      <w:r>
        <w:rPr>
          <w:rFonts w:ascii="Calibri" w:eastAsia="Times New Roman" w:hAnsi="Calibri" w:cs="Calibri"/>
          <w:bCs/>
          <w:lang w:eastAsia="fr-FR"/>
        </w:rPr>
        <w:t xml:space="preserve">C’est pourquoi les propositions devront soigneusement renseigner le contexte d’intervention. </w:t>
      </w:r>
      <w:r w:rsidR="00410BF2">
        <w:t>Afin d’ordonner et de comparer les différentes propositions, il</w:t>
      </w:r>
      <w:r w:rsidR="00485DFA">
        <w:t xml:space="preserve"> est attendu que les projets soient présentés de manière à renseigner les différentes rubriques de la matrice ci-après.</w:t>
      </w:r>
    </w:p>
    <w:p w14:paraId="743E6053" w14:textId="2C93E94F" w:rsidR="004F10C5" w:rsidRDefault="00AF691A">
      <w:r w:rsidRPr="00AF691A">
        <w:rPr>
          <w:noProof/>
          <w:lang w:eastAsia="fr-FR"/>
        </w:rPr>
        <w:drawing>
          <wp:inline distT="0" distB="0" distL="0" distR="0" wp14:anchorId="1A0BDD9B" wp14:editId="07975A4C">
            <wp:extent cx="5276850" cy="395763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2032" cy="3961524"/>
                    </a:xfrm>
                    <a:prstGeom prst="rect">
                      <a:avLst/>
                    </a:prstGeom>
                  </pic:spPr>
                </pic:pic>
              </a:graphicData>
            </a:graphic>
          </wp:inline>
        </w:drawing>
      </w:r>
    </w:p>
    <w:p w14:paraId="109AD696" w14:textId="2696885E" w:rsidR="00B92C09" w:rsidRDefault="00B92C09" w:rsidP="00B92C09">
      <w:r>
        <w:t xml:space="preserve">Les porteurs de projets sont donc invités à préciser, notamment : </w:t>
      </w:r>
    </w:p>
    <w:p w14:paraId="676BEC0E" w14:textId="6981DA0B" w:rsidR="00976D77" w:rsidRDefault="00B92C09" w:rsidP="000545FF">
      <w:pPr>
        <w:pStyle w:val="Paragraphedeliste"/>
        <w:numPr>
          <w:ilvl w:val="0"/>
          <w:numId w:val="36"/>
        </w:numPr>
        <w:spacing w:after="0" w:line="240" w:lineRule="auto"/>
        <w:contextualSpacing w:val="0"/>
        <w:jc w:val="both"/>
        <w:rPr>
          <w:b/>
        </w:rPr>
      </w:pPr>
      <w:r w:rsidRPr="000545FF">
        <w:rPr>
          <w:b/>
        </w:rPr>
        <w:t>Le type de population ciblée et l’étape à laquelle les bénéficiaires se situent dans leur parcours migratoire</w:t>
      </w:r>
      <w:r w:rsidR="00976D77">
        <w:rPr>
          <w:b/>
        </w:rPr>
        <w:t> :</w:t>
      </w:r>
    </w:p>
    <w:p w14:paraId="72ED49FF" w14:textId="4FE4EC59" w:rsidR="00976D77" w:rsidRPr="005364EE" w:rsidRDefault="00976D77" w:rsidP="000545FF">
      <w:pPr>
        <w:pStyle w:val="Paragraphedeliste"/>
        <w:numPr>
          <w:ilvl w:val="0"/>
          <w:numId w:val="58"/>
        </w:numPr>
        <w:spacing w:after="0" w:line="240" w:lineRule="auto"/>
        <w:contextualSpacing w:val="0"/>
        <w:jc w:val="both"/>
        <w:rPr>
          <w:b/>
        </w:rPr>
      </w:pPr>
      <w:r w:rsidRPr="000545FF">
        <w:rPr>
          <w:rFonts w:ascii="Calibri" w:eastAsia="Times New Roman" w:hAnsi="Calibri" w:cs="Calibri"/>
          <w:bCs/>
          <w:lang w:eastAsia="fr-FR"/>
        </w:rPr>
        <w:t>L'origine d</w:t>
      </w:r>
      <w:r>
        <w:rPr>
          <w:rFonts w:ascii="Calibri" w:eastAsia="Times New Roman" w:hAnsi="Calibri" w:cs="Calibri"/>
          <w:bCs/>
          <w:lang w:eastAsia="fr-FR"/>
        </w:rPr>
        <w:t>es migrant</w:t>
      </w:r>
      <w:r w:rsidR="00104E1D">
        <w:rPr>
          <w:rFonts w:ascii="Calibri" w:eastAsia="Times New Roman" w:hAnsi="Calibri" w:cs="Calibri"/>
          <w:bCs/>
          <w:lang w:eastAsia="fr-FR"/>
        </w:rPr>
        <w:t>-e-</w:t>
      </w:r>
      <w:r>
        <w:rPr>
          <w:rFonts w:ascii="Calibri" w:eastAsia="Times New Roman" w:hAnsi="Calibri" w:cs="Calibri"/>
          <w:bCs/>
          <w:lang w:eastAsia="fr-FR"/>
        </w:rPr>
        <w:t>s (</w:t>
      </w:r>
      <w:r w:rsidRPr="000545FF">
        <w:rPr>
          <w:rFonts w:ascii="Calibri" w:eastAsia="Times New Roman" w:hAnsi="Calibri" w:cs="Calibri"/>
          <w:bCs/>
          <w:lang w:eastAsia="fr-FR"/>
        </w:rPr>
        <w:t>flux migratoires internes ou transfrontaliers</w:t>
      </w:r>
      <w:r>
        <w:rPr>
          <w:rFonts w:ascii="Calibri" w:eastAsia="Times New Roman" w:hAnsi="Calibri" w:cs="Calibri"/>
          <w:bCs/>
          <w:lang w:eastAsia="fr-FR"/>
        </w:rPr>
        <w:t>)</w:t>
      </w:r>
      <w:r w:rsidRPr="000545FF">
        <w:rPr>
          <w:rFonts w:ascii="Calibri" w:eastAsia="Times New Roman" w:hAnsi="Calibri" w:cs="Calibri"/>
          <w:bCs/>
          <w:lang w:eastAsia="fr-FR"/>
        </w:rPr>
        <w:t> ;</w:t>
      </w:r>
      <w:r>
        <w:rPr>
          <w:rFonts w:ascii="Calibri" w:eastAsia="Times New Roman" w:hAnsi="Calibri" w:cs="Calibri"/>
          <w:bCs/>
          <w:lang w:eastAsia="fr-FR"/>
        </w:rPr>
        <w:t xml:space="preserve"> l</w:t>
      </w:r>
      <w:r w:rsidRPr="000545FF">
        <w:rPr>
          <w:rFonts w:ascii="Calibri" w:eastAsia="Times New Roman" w:hAnsi="Calibri" w:cs="Calibri"/>
          <w:bCs/>
          <w:lang w:eastAsia="fr-FR"/>
        </w:rPr>
        <w:t>eurs caractéristi</w:t>
      </w:r>
      <w:r>
        <w:rPr>
          <w:rFonts w:ascii="Calibri" w:eastAsia="Times New Roman" w:hAnsi="Calibri" w:cs="Calibri"/>
          <w:bCs/>
          <w:lang w:eastAsia="fr-FR"/>
        </w:rPr>
        <w:t>ques sociales (</w:t>
      </w:r>
      <w:r w:rsidRPr="000545FF">
        <w:rPr>
          <w:rFonts w:ascii="Calibri" w:eastAsia="Times New Roman" w:hAnsi="Calibri" w:cs="Calibri"/>
          <w:bCs/>
          <w:lang w:eastAsia="fr-FR"/>
        </w:rPr>
        <w:t>âge, genre, présence ou non de membres de famille, d'ami</w:t>
      </w:r>
      <w:r w:rsidR="00104E1D">
        <w:rPr>
          <w:rFonts w:ascii="Calibri" w:eastAsia="Times New Roman" w:hAnsi="Calibri" w:cs="Calibri"/>
          <w:bCs/>
          <w:lang w:eastAsia="fr-FR"/>
        </w:rPr>
        <w:t>-e-</w:t>
      </w:r>
      <w:r w:rsidRPr="000545FF">
        <w:rPr>
          <w:rFonts w:ascii="Calibri" w:eastAsia="Times New Roman" w:hAnsi="Calibri" w:cs="Calibri"/>
          <w:bCs/>
          <w:lang w:eastAsia="fr-FR"/>
        </w:rPr>
        <w:t>s ou d'un réseau communautaire dans le territoire d'accueil, barrières linguistiques ou non</w:t>
      </w:r>
      <w:r>
        <w:rPr>
          <w:rFonts w:ascii="Calibri" w:eastAsia="Times New Roman" w:hAnsi="Calibri" w:cs="Calibri"/>
          <w:bCs/>
          <w:lang w:eastAsia="fr-FR"/>
        </w:rPr>
        <w:t>) ;</w:t>
      </w:r>
      <w:r w:rsidRPr="000545FF">
        <w:rPr>
          <w:rFonts w:ascii="Calibri" w:eastAsia="Times New Roman" w:hAnsi="Calibri" w:cs="Calibri"/>
          <w:bCs/>
          <w:lang w:eastAsia="fr-FR"/>
        </w:rPr>
        <w:t xml:space="preserve"> </w:t>
      </w:r>
      <w:r w:rsidR="00715EA9">
        <w:rPr>
          <w:rFonts w:ascii="Calibri" w:eastAsia="Times New Roman" w:hAnsi="Calibri" w:cs="Calibri"/>
          <w:bCs/>
          <w:lang w:eastAsia="fr-FR"/>
        </w:rPr>
        <w:t>leur statut juridique (réfugié</w:t>
      </w:r>
      <w:r w:rsidR="00104E1D">
        <w:rPr>
          <w:rFonts w:ascii="Calibri" w:eastAsia="Times New Roman" w:hAnsi="Calibri" w:cs="Calibri"/>
          <w:bCs/>
          <w:lang w:eastAsia="fr-FR"/>
        </w:rPr>
        <w:t>-e-</w:t>
      </w:r>
      <w:r w:rsidR="00715EA9">
        <w:rPr>
          <w:rFonts w:ascii="Calibri" w:eastAsia="Times New Roman" w:hAnsi="Calibri" w:cs="Calibri"/>
          <w:bCs/>
          <w:lang w:eastAsia="fr-FR"/>
        </w:rPr>
        <w:t>s </w:t>
      </w:r>
      <w:r w:rsidR="00865997">
        <w:rPr>
          <w:rFonts w:ascii="Calibri" w:eastAsia="Times New Roman" w:hAnsi="Calibri" w:cs="Calibri"/>
          <w:bCs/>
          <w:lang w:eastAsia="fr-FR"/>
        </w:rPr>
        <w:t>ou non</w:t>
      </w:r>
      <w:r w:rsidR="00715EA9">
        <w:rPr>
          <w:rFonts w:ascii="Calibri" w:eastAsia="Times New Roman" w:hAnsi="Calibri" w:cs="Calibri"/>
          <w:bCs/>
          <w:lang w:eastAsia="fr-FR"/>
        </w:rPr>
        <w:t xml:space="preserve">) ; </w:t>
      </w:r>
      <w:r>
        <w:rPr>
          <w:rFonts w:ascii="Calibri" w:eastAsia="Times New Roman" w:hAnsi="Calibri" w:cs="Calibri"/>
          <w:lang w:eastAsia="fr-FR"/>
        </w:rPr>
        <w:t xml:space="preserve">leur niveau </w:t>
      </w:r>
      <w:r w:rsidRPr="005364EE">
        <w:rPr>
          <w:rFonts w:ascii="Calibri" w:eastAsia="Times New Roman" w:hAnsi="Calibri" w:cs="Calibri"/>
          <w:lang w:eastAsia="fr-FR"/>
        </w:rPr>
        <w:t>de vulnérabilité sociale (par exemple, font</w:t>
      </w:r>
      <w:r w:rsidR="008056A4" w:rsidRPr="005364EE">
        <w:rPr>
          <w:rFonts w:ascii="Calibri" w:eastAsia="Times New Roman" w:hAnsi="Calibri" w:cs="Calibri"/>
          <w:lang w:eastAsia="fr-FR"/>
        </w:rPr>
        <w:t>-</w:t>
      </w:r>
      <w:r w:rsidRPr="005364EE">
        <w:rPr>
          <w:rFonts w:ascii="Calibri" w:eastAsia="Times New Roman" w:hAnsi="Calibri" w:cs="Calibri"/>
          <w:lang w:eastAsia="fr-FR"/>
        </w:rPr>
        <w:t xml:space="preserve">ils </w:t>
      </w:r>
      <w:r w:rsidR="00104E1D">
        <w:rPr>
          <w:rFonts w:ascii="Calibri" w:eastAsia="Times New Roman" w:hAnsi="Calibri" w:cs="Calibri"/>
          <w:lang w:eastAsia="fr-FR"/>
        </w:rPr>
        <w:t xml:space="preserve">ou elles </w:t>
      </w:r>
      <w:r w:rsidRPr="005364EE">
        <w:rPr>
          <w:rFonts w:ascii="Calibri" w:eastAsia="Times New Roman" w:hAnsi="Calibri" w:cs="Calibri"/>
          <w:lang w:eastAsia="fr-FR"/>
        </w:rPr>
        <w:t>parti</w:t>
      </w:r>
      <w:r w:rsidR="006E4D70" w:rsidRPr="005364EE">
        <w:rPr>
          <w:rFonts w:ascii="Calibri" w:eastAsia="Times New Roman" w:hAnsi="Calibri" w:cs="Calibri"/>
          <w:lang w:eastAsia="fr-FR"/>
        </w:rPr>
        <w:t>e</w:t>
      </w:r>
      <w:r w:rsidRPr="005364EE">
        <w:rPr>
          <w:rFonts w:ascii="Calibri" w:eastAsia="Times New Roman" w:hAnsi="Calibri" w:cs="Calibri"/>
          <w:lang w:eastAsia="fr-FR"/>
        </w:rPr>
        <w:t xml:space="preserve"> d’un minorité ethnique/linguistique), économique, </w:t>
      </w:r>
      <w:r w:rsidRPr="005364EE">
        <w:rPr>
          <w:rFonts w:ascii="Calibri" w:eastAsia="Times New Roman" w:hAnsi="Calibri" w:cs="Calibri"/>
          <w:lang w:eastAsia="fr-FR"/>
        </w:rPr>
        <w:lastRenderedPageBreak/>
        <w:t>sanitaire</w:t>
      </w:r>
      <w:r w:rsidR="00715EA9" w:rsidRPr="005364EE">
        <w:rPr>
          <w:rFonts w:ascii="Calibri" w:eastAsia="Times New Roman" w:hAnsi="Calibri" w:cs="Calibri"/>
          <w:lang w:eastAsia="fr-FR"/>
        </w:rPr>
        <w:t xml:space="preserve"> ; </w:t>
      </w:r>
      <w:r w:rsidR="00715EA9" w:rsidRPr="005364EE">
        <w:rPr>
          <w:rFonts w:ascii="Calibri" w:eastAsia="Times New Roman" w:hAnsi="Calibri" w:cs="Calibri"/>
          <w:bCs/>
          <w:lang w:eastAsia="fr-FR"/>
        </w:rPr>
        <w:t xml:space="preserve">quelle est l’évolution de leur niveau de vulnérabilité depuis le début de leur déplacement ? ; ont-ils </w:t>
      </w:r>
      <w:r w:rsidR="00104E1D">
        <w:rPr>
          <w:rFonts w:ascii="Calibri" w:eastAsia="Times New Roman" w:hAnsi="Calibri" w:cs="Calibri"/>
          <w:bCs/>
          <w:lang w:eastAsia="fr-FR"/>
        </w:rPr>
        <w:t xml:space="preserve">ou elles </w:t>
      </w:r>
      <w:r w:rsidR="00715EA9" w:rsidRPr="005364EE">
        <w:rPr>
          <w:rFonts w:ascii="Calibri" w:eastAsia="Times New Roman" w:hAnsi="Calibri" w:cs="Calibri"/>
          <w:bCs/>
          <w:lang w:eastAsia="fr-FR"/>
        </w:rPr>
        <w:t xml:space="preserve">mis en place des stratégies d’adaptation négatives ? </w:t>
      </w:r>
    </w:p>
    <w:p w14:paraId="799B08EA" w14:textId="5AE96BE3" w:rsidR="00976D77" w:rsidRDefault="00976D77" w:rsidP="00976D77">
      <w:pPr>
        <w:pStyle w:val="Paragraphedeliste"/>
        <w:numPr>
          <w:ilvl w:val="0"/>
          <w:numId w:val="58"/>
        </w:numPr>
        <w:spacing w:after="0" w:line="240" w:lineRule="auto"/>
        <w:jc w:val="both"/>
        <w:rPr>
          <w:rFonts w:ascii="Calibri" w:eastAsia="Times New Roman" w:hAnsi="Calibri" w:cs="Calibri"/>
          <w:bCs/>
          <w:lang w:eastAsia="fr-FR"/>
        </w:rPr>
      </w:pPr>
      <w:r w:rsidRPr="009C58D4">
        <w:rPr>
          <w:rFonts w:ascii="Calibri" w:eastAsia="Times New Roman" w:hAnsi="Calibri" w:cs="Calibri"/>
          <w:bCs/>
          <w:lang w:eastAsia="fr-FR"/>
        </w:rPr>
        <w:t xml:space="preserve">L'objectif de la migration : </w:t>
      </w:r>
      <w:r>
        <w:rPr>
          <w:rFonts w:ascii="Calibri" w:eastAsia="Times New Roman" w:hAnsi="Calibri" w:cs="Calibri"/>
          <w:bCs/>
          <w:lang w:eastAsia="fr-FR"/>
        </w:rPr>
        <w:t xml:space="preserve">s’agit-il </w:t>
      </w:r>
      <w:r w:rsidRPr="009C58D4">
        <w:rPr>
          <w:rFonts w:ascii="Calibri" w:eastAsia="Times New Roman" w:hAnsi="Calibri" w:cs="Calibri"/>
          <w:bCs/>
          <w:lang w:eastAsia="fr-FR"/>
        </w:rPr>
        <w:t>de personnes déplacées de force (réfugié</w:t>
      </w:r>
      <w:r w:rsidR="00104E1D">
        <w:rPr>
          <w:rFonts w:ascii="Calibri" w:eastAsia="Times New Roman" w:hAnsi="Calibri" w:cs="Calibri"/>
          <w:bCs/>
          <w:lang w:eastAsia="fr-FR"/>
        </w:rPr>
        <w:t>-e-</w:t>
      </w:r>
      <w:r w:rsidRPr="009C58D4">
        <w:rPr>
          <w:rFonts w:ascii="Calibri" w:eastAsia="Times New Roman" w:hAnsi="Calibri" w:cs="Calibri"/>
          <w:bCs/>
          <w:lang w:eastAsia="fr-FR"/>
        </w:rPr>
        <w:t>s ou déplacé</w:t>
      </w:r>
      <w:r w:rsidR="00104E1D">
        <w:rPr>
          <w:rFonts w:ascii="Calibri" w:eastAsia="Times New Roman" w:hAnsi="Calibri" w:cs="Calibri"/>
          <w:bCs/>
          <w:lang w:eastAsia="fr-FR"/>
        </w:rPr>
        <w:t>-e-</w:t>
      </w:r>
      <w:r w:rsidRPr="009C58D4">
        <w:rPr>
          <w:rFonts w:ascii="Calibri" w:eastAsia="Times New Roman" w:hAnsi="Calibri" w:cs="Calibri"/>
          <w:bCs/>
          <w:lang w:eastAsia="fr-FR"/>
        </w:rPr>
        <w:t>s</w:t>
      </w:r>
      <w:r w:rsidR="00630240">
        <w:rPr>
          <w:rFonts w:ascii="Calibri" w:eastAsia="Times New Roman" w:hAnsi="Calibri" w:cs="Calibri"/>
          <w:bCs/>
          <w:lang w:eastAsia="fr-FR"/>
        </w:rPr>
        <w:t xml:space="preserve"> internes</w:t>
      </w:r>
      <w:r w:rsidRPr="009C58D4">
        <w:rPr>
          <w:rFonts w:ascii="Calibri" w:eastAsia="Times New Roman" w:hAnsi="Calibri" w:cs="Calibri"/>
          <w:bCs/>
          <w:lang w:eastAsia="fr-FR"/>
        </w:rPr>
        <w:t>) ou de migrant</w:t>
      </w:r>
      <w:r w:rsidR="00104E1D">
        <w:rPr>
          <w:rFonts w:ascii="Calibri" w:eastAsia="Times New Roman" w:hAnsi="Calibri" w:cs="Calibri"/>
          <w:bCs/>
          <w:lang w:eastAsia="fr-FR"/>
        </w:rPr>
        <w:t>-e-</w:t>
      </w:r>
      <w:r w:rsidRPr="009C58D4">
        <w:rPr>
          <w:rFonts w:ascii="Calibri" w:eastAsia="Times New Roman" w:hAnsi="Calibri" w:cs="Calibri"/>
          <w:bCs/>
          <w:lang w:eastAsia="fr-FR"/>
        </w:rPr>
        <w:t>s économiques</w:t>
      </w:r>
      <w:r>
        <w:rPr>
          <w:rFonts w:ascii="Calibri" w:eastAsia="Times New Roman" w:hAnsi="Calibri" w:cs="Calibri"/>
          <w:bCs/>
          <w:lang w:eastAsia="fr-FR"/>
        </w:rPr>
        <w:t xml:space="preserve"> ?</w:t>
      </w:r>
      <w:r w:rsidRPr="009C58D4">
        <w:rPr>
          <w:rFonts w:ascii="Calibri" w:eastAsia="Times New Roman" w:hAnsi="Calibri" w:cs="Calibri"/>
          <w:bCs/>
          <w:lang w:eastAsia="fr-FR"/>
        </w:rPr>
        <w:t xml:space="preserve"> Au sein de cette dernière catégorie, une distinction peut encore être faite entre les</w:t>
      </w:r>
      <w:r>
        <w:rPr>
          <w:rFonts w:ascii="Calibri" w:eastAsia="Times New Roman" w:hAnsi="Calibri" w:cs="Calibri"/>
          <w:bCs/>
          <w:lang w:eastAsia="fr-FR"/>
        </w:rPr>
        <w:t xml:space="preserve"> travailleurs </w:t>
      </w:r>
      <w:r w:rsidR="00104E1D">
        <w:rPr>
          <w:rFonts w:ascii="Calibri" w:eastAsia="Times New Roman" w:hAnsi="Calibri" w:cs="Calibri"/>
          <w:bCs/>
          <w:lang w:eastAsia="fr-FR"/>
        </w:rPr>
        <w:t xml:space="preserve">et travailleuses </w:t>
      </w:r>
      <w:r>
        <w:rPr>
          <w:rFonts w:ascii="Calibri" w:eastAsia="Times New Roman" w:hAnsi="Calibri" w:cs="Calibri"/>
          <w:bCs/>
          <w:lang w:eastAsia="fr-FR"/>
        </w:rPr>
        <w:t>migrant</w:t>
      </w:r>
      <w:r w:rsidR="00104E1D">
        <w:rPr>
          <w:rFonts w:ascii="Calibri" w:eastAsia="Times New Roman" w:hAnsi="Calibri" w:cs="Calibri"/>
          <w:bCs/>
          <w:lang w:eastAsia="fr-FR"/>
        </w:rPr>
        <w:t>-e-</w:t>
      </w:r>
      <w:r>
        <w:rPr>
          <w:rFonts w:ascii="Calibri" w:eastAsia="Times New Roman" w:hAnsi="Calibri" w:cs="Calibri"/>
          <w:bCs/>
          <w:lang w:eastAsia="fr-FR"/>
        </w:rPr>
        <w:t>s formel</w:t>
      </w:r>
      <w:r w:rsidR="00104E1D">
        <w:rPr>
          <w:rFonts w:ascii="Calibri" w:eastAsia="Times New Roman" w:hAnsi="Calibri" w:cs="Calibri"/>
          <w:bCs/>
          <w:lang w:eastAsia="fr-FR"/>
        </w:rPr>
        <w:t>-le-</w:t>
      </w:r>
      <w:r>
        <w:rPr>
          <w:rFonts w:ascii="Calibri" w:eastAsia="Times New Roman" w:hAnsi="Calibri" w:cs="Calibri"/>
          <w:bCs/>
          <w:lang w:eastAsia="fr-FR"/>
        </w:rPr>
        <w:t xml:space="preserve">s, </w:t>
      </w:r>
      <w:r w:rsidRPr="009C58D4">
        <w:rPr>
          <w:rFonts w:ascii="Calibri" w:eastAsia="Times New Roman" w:hAnsi="Calibri" w:cs="Calibri"/>
          <w:bCs/>
          <w:lang w:eastAsia="fr-FR"/>
        </w:rPr>
        <w:t xml:space="preserve">arrivant sur la base d'un contrat signé dans le pays d'origine pour une </w:t>
      </w:r>
      <w:r>
        <w:rPr>
          <w:rFonts w:ascii="Calibri" w:eastAsia="Times New Roman" w:hAnsi="Calibri" w:cs="Calibri"/>
          <w:bCs/>
          <w:lang w:eastAsia="fr-FR"/>
        </w:rPr>
        <w:t xml:space="preserve">période et </w:t>
      </w:r>
      <w:r w:rsidRPr="009C58D4">
        <w:rPr>
          <w:rFonts w:ascii="Calibri" w:eastAsia="Times New Roman" w:hAnsi="Calibri" w:cs="Calibri"/>
          <w:bCs/>
          <w:lang w:eastAsia="fr-FR"/>
        </w:rPr>
        <w:t xml:space="preserve">un emploi </w:t>
      </w:r>
      <w:r>
        <w:rPr>
          <w:rFonts w:ascii="Calibri" w:eastAsia="Times New Roman" w:hAnsi="Calibri" w:cs="Calibri"/>
          <w:bCs/>
          <w:lang w:eastAsia="fr-FR"/>
        </w:rPr>
        <w:t>prédéterminés,</w:t>
      </w:r>
      <w:r w:rsidRPr="009C58D4">
        <w:rPr>
          <w:rFonts w:ascii="Calibri" w:eastAsia="Times New Roman" w:hAnsi="Calibri" w:cs="Calibri"/>
          <w:bCs/>
          <w:lang w:eastAsia="fr-FR"/>
        </w:rPr>
        <w:t xml:space="preserve"> et </w:t>
      </w:r>
      <w:r w:rsidR="00104E1D">
        <w:rPr>
          <w:rFonts w:ascii="Calibri" w:eastAsia="Times New Roman" w:hAnsi="Calibri" w:cs="Calibri"/>
          <w:bCs/>
          <w:lang w:eastAsia="fr-FR"/>
        </w:rPr>
        <w:t xml:space="preserve">celles et </w:t>
      </w:r>
      <w:r w:rsidRPr="009C58D4">
        <w:rPr>
          <w:rFonts w:ascii="Calibri" w:eastAsia="Times New Roman" w:hAnsi="Calibri" w:cs="Calibri"/>
          <w:bCs/>
          <w:lang w:eastAsia="fr-FR"/>
        </w:rPr>
        <w:t>ceux qui cherchent un emploi une fo</w:t>
      </w:r>
      <w:r>
        <w:rPr>
          <w:rFonts w:ascii="Calibri" w:eastAsia="Times New Roman" w:hAnsi="Calibri" w:cs="Calibri"/>
          <w:bCs/>
          <w:lang w:eastAsia="fr-FR"/>
        </w:rPr>
        <w:t>is dans le territoire d'accueil ;</w:t>
      </w:r>
    </w:p>
    <w:p w14:paraId="4BB1F46A" w14:textId="3F7875B2" w:rsidR="00976D77" w:rsidRDefault="00976D77" w:rsidP="00976D77">
      <w:pPr>
        <w:pStyle w:val="Paragraphedeliste"/>
        <w:numPr>
          <w:ilvl w:val="0"/>
          <w:numId w:val="58"/>
        </w:num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L’étape migratoire et la durée du déplacement : les migrant</w:t>
      </w:r>
      <w:r w:rsidR="00104E1D">
        <w:rPr>
          <w:rFonts w:ascii="Calibri" w:eastAsia="Times New Roman" w:hAnsi="Calibri" w:cs="Calibri"/>
          <w:bCs/>
          <w:lang w:eastAsia="fr-FR"/>
        </w:rPr>
        <w:t>-e-</w:t>
      </w:r>
      <w:r>
        <w:rPr>
          <w:rFonts w:ascii="Calibri" w:eastAsia="Times New Roman" w:hAnsi="Calibri" w:cs="Calibri"/>
          <w:bCs/>
          <w:lang w:eastAsia="fr-FR"/>
        </w:rPr>
        <w:t xml:space="preserve">s sont-ils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 xml:space="preserve">en transit (donc encore mobiles) ? Se sont-ils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établi</w:t>
      </w:r>
      <w:r w:rsidR="00104E1D">
        <w:rPr>
          <w:rFonts w:ascii="Calibri" w:eastAsia="Times New Roman" w:hAnsi="Calibri" w:cs="Calibri"/>
          <w:bCs/>
          <w:lang w:eastAsia="fr-FR"/>
        </w:rPr>
        <w:t>-e-</w:t>
      </w:r>
      <w:r>
        <w:rPr>
          <w:rFonts w:ascii="Calibri" w:eastAsia="Times New Roman" w:hAnsi="Calibri" w:cs="Calibri"/>
          <w:bCs/>
          <w:lang w:eastAsia="fr-FR"/>
        </w:rPr>
        <w:t xml:space="preserve">s dans le territoire d’accueil ? Quelle est l’horizon temporelle du séjour ? Ou retournent-ils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au pays ? La situation des migrant</w:t>
      </w:r>
      <w:r w:rsidR="00104E1D">
        <w:rPr>
          <w:rFonts w:ascii="Calibri" w:eastAsia="Times New Roman" w:hAnsi="Calibri" w:cs="Calibri"/>
          <w:bCs/>
          <w:lang w:eastAsia="fr-FR"/>
        </w:rPr>
        <w:t>-e-</w:t>
      </w:r>
      <w:r>
        <w:rPr>
          <w:rFonts w:ascii="Calibri" w:eastAsia="Times New Roman" w:hAnsi="Calibri" w:cs="Calibri"/>
          <w:bCs/>
          <w:lang w:eastAsia="fr-FR"/>
        </w:rPr>
        <w:t>s peut être plus ou moins stable ou précaire ;</w:t>
      </w:r>
    </w:p>
    <w:p w14:paraId="04FA66A5" w14:textId="5101D396" w:rsidR="00976D77" w:rsidRDefault="00976D77" w:rsidP="00976D77">
      <w:pPr>
        <w:pStyle w:val="Paragraphedeliste"/>
        <w:numPr>
          <w:ilvl w:val="0"/>
          <w:numId w:val="58"/>
        </w:num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 xml:space="preserve">La localisation : se sont-ils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établi</w:t>
      </w:r>
      <w:r w:rsidR="00104E1D">
        <w:rPr>
          <w:rFonts w:ascii="Calibri" w:eastAsia="Times New Roman" w:hAnsi="Calibri" w:cs="Calibri"/>
          <w:bCs/>
          <w:lang w:eastAsia="fr-FR"/>
        </w:rPr>
        <w:t>-e-</w:t>
      </w:r>
      <w:r>
        <w:rPr>
          <w:rFonts w:ascii="Calibri" w:eastAsia="Times New Roman" w:hAnsi="Calibri" w:cs="Calibri"/>
          <w:bCs/>
          <w:lang w:eastAsia="fr-FR"/>
        </w:rPr>
        <w:t xml:space="preserve">s en milieu urbain de façon plus ou moins amalgamée à la population locale ? En milieu rural ? Vivent-ils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dans un camp de réfugié</w:t>
      </w:r>
      <w:r w:rsidR="00104E1D">
        <w:rPr>
          <w:rFonts w:ascii="Calibri" w:eastAsia="Times New Roman" w:hAnsi="Calibri" w:cs="Calibri"/>
          <w:bCs/>
          <w:lang w:eastAsia="fr-FR"/>
        </w:rPr>
        <w:t>-e-</w:t>
      </w:r>
      <w:r>
        <w:rPr>
          <w:rFonts w:ascii="Calibri" w:eastAsia="Times New Roman" w:hAnsi="Calibri" w:cs="Calibri"/>
          <w:bCs/>
          <w:lang w:eastAsia="fr-FR"/>
        </w:rPr>
        <w:t>s ?</w:t>
      </w:r>
    </w:p>
    <w:p w14:paraId="15407D25" w14:textId="546FC556" w:rsidR="00976D77" w:rsidRDefault="00976D77" w:rsidP="00976D77">
      <w:pPr>
        <w:pStyle w:val="Paragraphedeliste"/>
        <w:numPr>
          <w:ilvl w:val="0"/>
          <w:numId w:val="58"/>
        </w:num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 xml:space="preserve">Documents d’identité : </w:t>
      </w:r>
      <w:r w:rsidR="00104E1D">
        <w:rPr>
          <w:rFonts w:ascii="Calibri" w:eastAsia="Times New Roman" w:hAnsi="Calibri" w:cs="Calibri"/>
          <w:bCs/>
          <w:lang w:eastAsia="fr-FR"/>
        </w:rPr>
        <w:t>d</w:t>
      </w:r>
      <w:r>
        <w:rPr>
          <w:rFonts w:ascii="Calibri" w:eastAsia="Times New Roman" w:hAnsi="Calibri" w:cs="Calibri"/>
          <w:bCs/>
          <w:lang w:eastAsia="fr-FR"/>
        </w:rPr>
        <w:t xml:space="preserve">isposent-ils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de documents d’identité valables et reconnus ?</w:t>
      </w:r>
    </w:p>
    <w:p w14:paraId="4E870ABB" w14:textId="58B09902" w:rsidR="00630240" w:rsidRPr="005364EE" w:rsidRDefault="00976D77" w:rsidP="005364EE">
      <w:pPr>
        <w:pStyle w:val="Paragraphedeliste"/>
        <w:numPr>
          <w:ilvl w:val="0"/>
          <w:numId w:val="58"/>
        </w:numPr>
        <w:spacing w:after="0" w:line="240" w:lineRule="auto"/>
        <w:jc w:val="both"/>
        <w:rPr>
          <w:rFonts w:ascii="Calibri" w:eastAsia="Times New Roman" w:hAnsi="Calibri" w:cs="Calibri"/>
          <w:bCs/>
          <w:lang w:eastAsia="fr-FR"/>
        </w:rPr>
      </w:pPr>
      <w:r>
        <w:rPr>
          <w:rFonts w:ascii="Calibri" w:eastAsia="Times New Roman" w:hAnsi="Calibri" w:cs="Calibri"/>
          <w:bCs/>
          <w:lang w:eastAsia="fr-FR"/>
        </w:rPr>
        <w:t>L’accès</w:t>
      </w:r>
      <w:r w:rsidRPr="00941592">
        <w:rPr>
          <w:rFonts w:ascii="Calibri" w:eastAsia="Times New Roman" w:hAnsi="Calibri" w:cs="Calibri"/>
          <w:bCs/>
          <w:lang w:eastAsia="fr-FR"/>
        </w:rPr>
        <w:t xml:space="preserve"> à l'aide</w:t>
      </w:r>
      <w:r>
        <w:rPr>
          <w:rFonts w:ascii="Calibri" w:eastAsia="Times New Roman" w:hAnsi="Calibri" w:cs="Calibri"/>
          <w:bCs/>
          <w:lang w:eastAsia="fr-FR"/>
        </w:rPr>
        <w:t xml:space="preserve"> humanitaire : sont-ils </w:t>
      </w:r>
      <w:r w:rsidR="00104E1D">
        <w:rPr>
          <w:rFonts w:ascii="Calibri" w:eastAsia="Times New Roman" w:hAnsi="Calibri" w:cs="Calibri"/>
          <w:bCs/>
          <w:lang w:eastAsia="fr-FR"/>
        </w:rPr>
        <w:t xml:space="preserve">ou elles </w:t>
      </w:r>
      <w:r w:rsidRPr="00941592">
        <w:rPr>
          <w:rFonts w:ascii="Calibri" w:eastAsia="Times New Roman" w:hAnsi="Calibri" w:cs="Calibri"/>
          <w:bCs/>
          <w:lang w:eastAsia="fr-FR"/>
        </w:rPr>
        <w:t>enregistré</w:t>
      </w:r>
      <w:r w:rsidR="00104E1D">
        <w:rPr>
          <w:rFonts w:ascii="Calibri" w:eastAsia="Times New Roman" w:hAnsi="Calibri" w:cs="Calibri"/>
          <w:bCs/>
          <w:lang w:eastAsia="fr-FR"/>
        </w:rPr>
        <w:t>-e-</w:t>
      </w:r>
      <w:r>
        <w:rPr>
          <w:rFonts w:ascii="Calibri" w:eastAsia="Times New Roman" w:hAnsi="Calibri" w:cs="Calibri"/>
          <w:bCs/>
          <w:lang w:eastAsia="fr-FR"/>
        </w:rPr>
        <w:t>s</w:t>
      </w:r>
      <w:r w:rsidRPr="00941592">
        <w:rPr>
          <w:rFonts w:ascii="Calibri" w:eastAsia="Times New Roman" w:hAnsi="Calibri" w:cs="Calibri"/>
          <w:bCs/>
          <w:lang w:eastAsia="fr-FR"/>
        </w:rPr>
        <w:t xml:space="preserve"> comme réfugié</w:t>
      </w:r>
      <w:r w:rsidR="00104E1D">
        <w:rPr>
          <w:rFonts w:ascii="Calibri" w:eastAsia="Times New Roman" w:hAnsi="Calibri" w:cs="Calibri"/>
          <w:bCs/>
          <w:lang w:eastAsia="fr-FR"/>
        </w:rPr>
        <w:t>-e-s</w:t>
      </w:r>
      <w:r w:rsidRPr="00941592">
        <w:rPr>
          <w:rFonts w:ascii="Calibri" w:eastAsia="Times New Roman" w:hAnsi="Calibri" w:cs="Calibri"/>
          <w:bCs/>
          <w:lang w:eastAsia="fr-FR"/>
        </w:rPr>
        <w:t xml:space="preserve"> ou non, </w:t>
      </w:r>
      <w:r>
        <w:rPr>
          <w:rFonts w:ascii="Calibri" w:eastAsia="Times New Roman" w:hAnsi="Calibri" w:cs="Calibri"/>
          <w:bCs/>
          <w:lang w:eastAsia="fr-FR"/>
        </w:rPr>
        <w:t>bénéficiaire</w:t>
      </w:r>
      <w:r w:rsidR="00104E1D">
        <w:rPr>
          <w:rFonts w:ascii="Calibri" w:eastAsia="Times New Roman" w:hAnsi="Calibri" w:cs="Calibri"/>
          <w:bCs/>
          <w:lang w:eastAsia="fr-FR"/>
        </w:rPr>
        <w:t>s</w:t>
      </w:r>
      <w:r w:rsidRPr="00941592">
        <w:rPr>
          <w:rFonts w:ascii="Calibri" w:eastAsia="Times New Roman" w:hAnsi="Calibri" w:cs="Calibri"/>
          <w:bCs/>
          <w:lang w:eastAsia="fr-FR"/>
        </w:rPr>
        <w:t xml:space="preserve"> ou non</w:t>
      </w:r>
      <w:r>
        <w:rPr>
          <w:rFonts w:ascii="Calibri" w:eastAsia="Times New Roman" w:hAnsi="Calibri" w:cs="Calibri"/>
          <w:bCs/>
          <w:lang w:eastAsia="fr-FR"/>
        </w:rPr>
        <w:t xml:space="preserve"> de transferts de fonds humanitaires ?</w:t>
      </w:r>
      <w:r w:rsidR="00630240" w:rsidRPr="00630240">
        <w:rPr>
          <w:rFonts w:ascii="Calibri" w:eastAsia="Times New Roman" w:hAnsi="Calibri" w:cs="Calibri"/>
          <w:bCs/>
          <w:lang w:eastAsia="fr-FR"/>
        </w:rPr>
        <w:t xml:space="preserve"> </w:t>
      </w:r>
    </w:p>
    <w:p w14:paraId="74AF4469" w14:textId="5EF26921" w:rsidR="00976D77" w:rsidRDefault="00976D77" w:rsidP="000545FF">
      <w:pPr>
        <w:pStyle w:val="Paragraphedeliste"/>
        <w:numPr>
          <w:ilvl w:val="0"/>
          <w:numId w:val="58"/>
        </w:numPr>
        <w:spacing w:after="0" w:line="240" w:lineRule="auto"/>
        <w:jc w:val="both"/>
        <w:rPr>
          <w:rFonts w:ascii="Calibri" w:eastAsia="Times New Roman" w:hAnsi="Calibri" w:cs="Calibri"/>
          <w:bCs/>
          <w:lang w:eastAsia="fr-FR"/>
        </w:rPr>
      </w:pPr>
      <w:r w:rsidRPr="00941592">
        <w:rPr>
          <w:rFonts w:ascii="Calibri" w:eastAsia="Times New Roman" w:hAnsi="Calibri" w:cs="Calibri"/>
          <w:bCs/>
          <w:lang w:eastAsia="fr-FR"/>
        </w:rPr>
        <w:t>Profil de participation économique</w:t>
      </w:r>
      <w:r>
        <w:rPr>
          <w:rFonts w:ascii="Calibri" w:eastAsia="Times New Roman" w:hAnsi="Calibri" w:cs="Calibri"/>
          <w:bCs/>
          <w:lang w:eastAsia="fr-FR"/>
        </w:rPr>
        <w:t xml:space="preserve"> : </w:t>
      </w:r>
      <w:r w:rsidR="00630240">
        <w:rPr>
          <w:rFonts w:ascii="Calibri" w:eastAsia="Times New Roman" w:hAnsi="Calibri" w:cs="Calibri"/>
          <w:bCs/>
          <w:lang w:eastAsia="fr-FR"/>
        </w:rPr>
        <w:t>quels types d’</w:t>
      </w:r>
      <w:r w:rsidRPr="00941592">
        <w:rPr>
          <w:rFonts w:ascii="Calibri" w:eastAsia="Times New Roman" w:hAnsi="Calibri" w:cs="Calibri"/>
          <w:bCs/>
          <w:lang w:eastAsia="fr-FR"/>
        </w:rPr>
        <w:t>emploi</w:t>
      </w:r>
      <w:r>
        <w:rPr>
          <w:rFonts w:ascii="Calibri" w:eastAsia="Times New Roman" w:hAnsi="Calibri" w:cs="Calibri"/>
          <w:bCs/>
          <w:lang w:eastAsia="fr-FR"/>
        </w:rPr>
        <w:t> </w:t>
      </w:r>
      <w:r w:rsidR="00630240">
        <w:rPr>
          <w:rFonts w:ascii="Calibri" w:eastAsia="Times New Roman" w:hAnsi="Calibri" w:cs="Calibri"/>
          <w:bCs/>
          <w:lang w:eastAsia="fr-FR"/>
        </w:rPr>
        <w:t xml:space="preserve">ont-ils </w:t>
      </w:r>
      <w:r w:rsidR="00104E1D">
        <w:rPr>
          <w:rFonts w:ascii="Calibri" w:eastAsia="Times New Roman" w:hAnsi="Calibri" w:cs="Calibri"/>
          <w:bCs/>
          <w:lang w:eastAsia="fr-FR"/>
        </w:rPr>
        <w:t xml:space="preserve">ou elles </w:t>
      </w:r>
      <w:r w:rsidR="00630240">
        <w:rPr>
          <w:rFonts w:ascii="Calibri" w:eastAsia="Times New Roman" w:hAnsi="Calibri" w:cs="Calibri"/>
          <w:bCs/>
          <w:lang w:eastAsia="fr-FR"/>
        </w:rPr>
        <w:t xml:space="preserve">pu occuper depuis leur déplacement dans la zone </w:t>
      </w:r>
      <w:r>
        <w:rPr>
          <w:rFonts w:ascii="Calibri" w:eastAsia="Times New Roman" w:hAnsi="Calibri" w:cs="Calibri"/>
          <w:bCs/>
          <w:lang w:eastAsia="fr-FR"/>
        </w:rPr>
        <w:t>(et y a-t-il un différentiel de genre)</w:t>
      </w:r>
      <w:r w:rsidR="006C7E2F">
        <w:rPr>
          <w:rFonts w:ascii="Calibri" w:eastAsia="Times New Roman" w:hAnsi="Calibri" w:cs="Calibri"/>
          <w:bCs/>
          <w:lang w:eastAsia="fr-FR"/>
        </w:rPr>
        <w:t xml:space="preserve"> ? </w:t>
      </w:r>
      <w:r w:rsidR="00104E1D">
        <w:rPr>
          <w:rFonts w:ascii="Calibri" w:eastAsia="Times New Roman" w:hAnsi="Calibri" w:cs="Calibri"/>
          <w:bCs/>
          <w:lang w:eastAsia="fr-FR"/>
        </w:rPr>
        <w:t>Q</w:t>
      </w:r>
      <w:r w:rsidR="006C7E2F">
        <w:rPr>
          <w:rFonts w:ascii="Calibri" w:eastAsia="Times New Roman" w:hAnsi="Calibri" w:cs="Calibri"/>
          <w:bCs/>
          <w:lang w:eastAsia="fr-FR"/>
        </w:rPr>
        <w:t xml:space="preserve">uel a été leur niveau de revenu et leur capacité à s’autonomiser économiquement </w:t>
      </w:r>
      <w:r>
        <w:rPr>
          <w:rFonts w:ascii="Calibri" w:eastAsia="Times New Roman" w:hAnsi="Calibri" w:cs="Calibri"/>
          <w:bCs/>
          <w:lang w:eastAsia="fr-FR"/>
        </w:rPr>
        <w:t>?</w:t>
      </w:r>
      <w:r w:rsidRPr="00941592">
        <w:rPr>
          <w:rFonts w:ascii="Calibri" w:eastAsia="Times New Roman" w:hAnsi="Calibri" w:cs="Calibri"/>
          <w:bCs/>
          <w:lang w:eastAsia="fr-FR"/>
        </w:rPr>
        <w:t xml:space="preserve"> </w:t>
      </w:r>
      <w:r w:rsidR="006C7E2F">
        <w:rPr>
          <w:rFonts w:ascii="Calibri" w:eastAsia="Times New Roman" w:hAnsi="Calibri" w:cs="Calibri"/>
          <w:bCs/>
          <w:lang w:eastAsia="fr-FR"/>
        </w:rPr>
        <w:t xml:space="preserve">Quels sont les </w:t>
      </w:r>
      <w:r>
        <w:rPr>
          <w:rFonts w:ascii="Calibri" w:eastAsia="Times New Roman" w:hAnsi="Calibri" w:cs="Calibri"/>
          <w:bCs/>
          <w:lang w:eastAsia="fr-FR"/>
        </w:rPr>
        <w:t>obstacles, juridiques et/ou socia</w:t>
      </w:r>
      <w:r w:rsidR="00DA1526">
        <w:rPr>
          <w:rFonts w:ascii="Calibri" w:eastAsia="Times New Roman" w:hAnsi="Calibri" w:cs="Calibri"/>
          <w:bCs/>
          <w:lang w:eastAsia="fr-FR"/>
        </w:rPr>
        <w:t>ux,</w:t>
      </w:r>
      <w:r>
        <w:rPr>
          <w:rFonts w:ascii="Calibri" w:eastAsia="Times New Roman" w:hAnsi="Calibri" w:cs="Calibri"/>
          <w:bCs/>
          <w:lang w:eastAsia="fr-FR"/>
        </w:rPr>
        <w:t xml:space="preserve"> à l’accès au marché du travail formel </w:t>
      </w:r>
      <w:r w:rsidR="006C7E2F">
        <w:rPr>
          <w:rFonts w:ascii="Calibri" w:eastAsia="Times New Roman" w:hAnsi="Calibri" w:cs="Calibri"/>
          <w:bCs/>
          <w:lang w:eastAsia="fr-FR"/>
        </w:rPr>
        <w:t>et i</w:t>
      </w:r>
      <w:r>
        <w:rPr>
          <w:rFonts w:ascii="Calibri" w:eastAsia="Times New Roman" w:hAnsi="Calibri" w:cs="Calibri"/>
          <w:bCs/>
          <w:lang w:eastAsia="fr-FR"/>
        </w:rPr>
        <w:t xml:space="preserve">nformel ? Sont-ils </w:t>
      </w:r>
      <w:r w:rsidR="00104E1D">
        <w:rPr>
          <w:rFonts w:ascii="Calibri" w:eastAsia="Times New Roman" w:hAnsi="Calibri" w:cs="Calibri"/>
          <w:bCs/>
          <w:lang w:eastAsia="fr-FR"/>
        </w:rPr>
        <w:t xml:space="preserve">ou elles </w:t>
      </w:r>
      <w:r>
        <w:rPr>
          <w:rFonts w:ascii="Calibri" w:eastAsia="Times New Roman" w:hAnsi="Calibri" w:cs="Calibri"/>
          <w:bCs/>
          <w:lang w:eastAsia="fr-FR"/>
        </w:rPr>
        <w:t>salarié</w:t>
      </w:r>
      <w:r w:rsidR="00104E1D">
        <w:rPr>
          <w:rFonts w:ascii="Calibri" w:eastAsia="Times New Roman" w:hAnsi="Calibri" w:cs="Calibri"/>
          <w:bCs/>
          <w:lang w:eastAsia="fr-FR"/>
        </w:rPr>
        <w:t>-e-</w:t>
      </w:r>
      <w:r>
        <w:rPr>
          <w:rFonts w:ascii="Calibri" w:eastAsia="Times New Roman" w:hAnsi="Calibri" w:cs="Calibri"/>
          <w:bCs/>
          <w:lang w:eastAsia="fr-FR"/>
        </w:rPr>
        <w:t>s ou indépendant</w:t>
      </w:r>
      <w:r w:rsidR="00104E1D">
        <w:rPr>
          <w:rFonts w:ascii="Calibri" w:eastAsia="Times New Roman" w:hAnsi="Calibri" w:cs="Calibri"/>
          <w:bCs/>
          <w:lang w:eastAsia="fr-FR"/>
        </w:rPr>
        <w:t>-e-</w:t>
      </w:r>
      <w:r>
        <w:rPr>
          <w:rFonts w:ascii="Calibri" w:eastAsia="Times New Roman" w:hAnsi="Calibri" w:cs="Calibri"/>
          <w:bCs/>
          <w:lang w:eastAsia="fr-FR"/>
        </w:rPr>
        <w:t>s ?</w:t>
      </w:r>
    </w:p>
    <w:p w14:paraId="32C574F9" w14:textId="77777777" w:rsidR="00B976AB" w:rsidRDefault="00B976AB" w:rsidP="000545FF">
      <w:pPr>
        <w:pStyle w:val="Paragraphedeliste"/>
        <w:spacing w:after="0" w:line="240" w:lineRule="auto"/>
        <w:contextualSpacing w:val="0"/>
        <w:jc w:val="both"/>
      </w:pPr>
    </w:p>
    <w:p w14:paraId="4D8BE232" w14:textId="450C6141" w:rsidR="00161E5D" w:rsidRPr="00026334" w:rsidRDefault="00B92C09" w:rsidP="00026334">
      <w:pPr>
        <w:pStyle w:val="Paragraphedeliste"/>
        <w:numPr>
          <w:ilvl w:val="0"/>
          <w:numId w:val="36"/>
        </w:numPr>
        <w:spacing w:after="0" w:line="240" w:lineRule="auto"/>
        <w:contextualSpacing w:val="0"/>
        <w:jc w:val="both"/>
        <w:rPr>
          <w:b/>
        </w:rPr>
      </w:pPr>
      <w:r w:rsidRPr="000545FF">
        <w:rPr>
          <w:b/>
        </w:rPr>
        <w:t>Les objectifs, en termes d’inclusion financière, ciblés par le projet ;</w:t>
      </w:r>
      <w:r w:rsidR="00161E5D">
        <w:rPr>
          <w:b/>
        </w:rPr>
        <w:t xml:space="preserve"> </w:t>
      </w:r>
      <w:r w:rsidR="00EE0400">
        <w:t xml:space="preserve">la proposition devra expliquer quelle finalité est visée en matière d’inclusion financière. En effet, l’inclusion financière ne doit pas être comprise uniquement comme l’ouverture d’un compte au sein d’une institution financière mais elle doit répondre à un objectif de développement plus large. Il s’agira donc pour les soumissionnaires de préciser les enjeux de développement auxquels l’inclusion financière peut </w:t>
      </w:r>
      <w:r w:rsidR="00026334">
        <w:t>répondre dans le cadre du projet. A titre d’exemple, nous pouvons citer les objectifs suivants :</w:t>
      </w:r>
      <w:r w:rsidR="00EE0400">
        <w:t xml:space="preserve"> </w:t>
      </w:r>
    </w:p>
    <w:p w14:paraId="161C5D9E" w14:textId="4B450CA3" w:rsidR="00EE0400" w:rsidRPr="00026334" w:rsidRDefault="00026334" w:rsidP="00026334">
      <w:pPr>
        <w:pStyle w:val="Paragraphedeliste"/>
        <w:numPr>
          <w:ilvl w:val="1"/>
          <w:numId w:val="36"/>
        </w:numPr>
        <w:spacing w:after="0" w:line="240" w:lineRule="auto"/>
        <w:contextualSpacing w:val="0"/>
        <w:jc w:val="both"/>
      </w:pPr>
      <w:r w:rsidRPr="00026334">
        <w:t>A</w:t>
      </w:r>
      <w:r w:rsidR="00EE0400" w:rsidRPr="00026334">
        <w:t>ccès aux services de base</w:t>
      </w:r>
      <w:r w:rsidRPr="00026334">
        <w:t xml:space="preserve"> </w:t>
      </w:r>
    </w:p>
    <w:p w14:paraId="34EEAA4A" w14:textId="5E88DD68" w:rsidR="00EE0400" w:rsidRPr="00026334" w:rsidRDefault="00EE0400" w:rsidP="00026334">
      <w:pPr>
        <w:pStyle w:val="Paragraphedeliste"/>
        <w:numPr>
          <w:ilvl w:val="1"/>
          <w:numId w:val="36"/>
        </w:numPr>
        <w:spacing w:after="0" w:line="240" w:lineRule="auto"/>
        <w:contextualSpacing w:val="0"/>
        <w:jc w:val="both"/>
      </w:pPr>
      <w:r w:rsidRPr="00026334">
        <w:t>Augmenter</w:t>
      </w:r>
      <w:r w:rsidR="00026334" w:rsidRPr="00026334">
        <w:t xml:space="preserve"> la résilience financière des populations</w:t>
      </w:r>
    </w:p>
    <w:p w14:paraId="62241BA3" w14:textId="330295DE" w:rsidR="00026334" w:rsidRPr="00026334" w:rsidRDefault="00026334" w:rsidP="00026334">
      <w:pPr>
        <w:pStyle w:val="Paragraphedeliste"/>
        <w:numPr>
          <w:ilvl w:val="1"/>
          <w:numId w:val="36"/>
        </w:numPr>
        <w:spacing w:after="0" w:line="240" w:lineRule="auto"/>
        <w:contextualSpacing w:val="0"/>
        <w:jc w:val="both"/>
      </w:pPr>
      <w:r w:rsidRPr="00026334">
        <w:t>Construction d’un historique de crédit</w:t>
      </w:r>
    </w:p>
    <w:p w14:paraId="053C3886" w14:textId="25D804BD" w:rsidR="00026334" w:rsidRPr="00026334" w:rsidRDefault="00026334" w:rsidP="00026334">
      <w:pPr>
        <w:pStyle w:val="Paragraphedeliste"/>
        <w:numPr>
          <w:ilvl w:val="1"/>
          <w:numId w:val="36"/>
        </w:numPr>
        <w:spacing w:after="0" w:line="240" w:lineRule="auto"/>
        <w:contextualSpacing w:val="0"/>
        <w:jc w:val="both"/>
      </w:pPr>
      <w:r w:rsidRPr="00026334">
        <w:t>Développement d’une activité économique</w:t>
      </w:r>
    </w:p>
    <w:p w14:paraId="1AF7F0CA" w14:textId="77777777" w:rsidR="00B976AB" w:rsidRDefault="00B976AB" w:rsidP="000545FF">
      <w:pPr>
        <w:pStyle w:val="Paragraphedeliste"/>
        <w:spacing w:after="0" w:line="240" w:lineRule="auto"/>
        <w:contextualSpacing w:val="0"/>
        <w:jc w:val="both"/>
      </w:pPr>
    </w:p>
    <w:p w14:paraId="54D89297" w14:textId="6407808E" w:rsidR="000269EE" w:rsidRDefault="00B92C09" w:rsidP="005364EE">
      <w:pPr>
        <w:pStyle w:val="Paragraphedeliste"/>
        <w:numPr>
          <w:ilvl w:val="0"/>
          <w:numId w:val="36"/>
        </w:numPr>
        <w:jc w:val="both"/>
      </w:pPr>
      <w:r w:rsidRPr="000545FF">
        <w:rPr>
          <w:b/>
        </w:rPr>
        <w:t xml:space="preserve">La typologie des produits et services financiers comme non financiers proposés pour répondre </w:t>
      </w:r>
      <w:r w:rsidR="00026334">
        <w:rPr>
          <w:b/>
        </w:rPr>
        <w:t>à cet/ces</w:t>
      </w:r>
      <w:r w:rsidR="00026334" w:rsidRPr="000545FF">
        <w:rPr>
          <w:b/>
        </w:rPr>
        <w:t xml:space="preserve"> </w:t>
      </w:r>
      <w:r w:rsidRPr="000545FF">
        <w:rPr>
          <w:b/>
        </w:rPr>
        <w:t>objectif</w:t>
      </w:r>
      <w:r w:rsidR="00026334">
        <w:rPr>
          <w:b/>
        </w:rPr>
        <w:t>(</w:t>
      </w:r>
      <w:r w:rsidRPr="000545FF">
        <w:rPr>
          <w:b/>
        </w:rPr>
        <w:t>s</w:t>
      </w:r>
      <w:r w:rsidR="00026334">
        <w:rPr>
          <w:b/>
        </w:rPr>
        <w:t>)</w:t>
      </w:r>
      <w:r w:rsidR="00B976AB">
        <w:t xml:space="preserve">. </w:t>
      </w:r>
      <w:r w:rsidR="006E4D70">
        <w:t>L</w:t>
      </w:r>
      <w:r w:rsidR="00B976AB">
        <w:t>e projet ne doit pas forcément proposer de travailler directement sur l’offre de services financiers. Il peut s’agir d’activités agissant sur différents points de blocages de la demande (intégration économique, éducation financière etc.) qui visent de façon générale à faciliter l’intégration des migrant</w:t>
      </w:r>
      <w:r w:rsidR="00104E1D">
        <w:t>-e-</w:t>
      </w:r>
      <w:r w:rsidR="00B976AB">
        <w:t xml:space="preserve">s à la communauté hôte. </w:t>
      </w:r>
      <w:r w:rsidR="00B976AB" w:rsidRPr="00B976AB">
        <w:t xml:space="preserve">Travailler sur le contexte afin de permettre au marché de se déployer peut dans certains cas être plus efficace pour améliorer l’inclusion financière, nous serons attentifs </w:t>
      </w:r>
      <w:r w:rsidR="00104E1D">
        <w:t xml:space="preserve">et attentives </w:t>
      </w:r>
      <w:r w:rsidR="00B976AB" w:rsidRPr="00B976AB">
        <w:t>à ces « approches indirectes » innovantes.</w:t>
      </w:r>
      <w:r w:rsidR="00B976AB">
        <w:t xml:space="preserve"> Cependant, l’ONG doit être capable in fine de mesurer l’impact sur l’inclusion financière des populations.</w:t>
      </w:r>
    </w:p>
    <w:p w14:paraId="32B60096" w14:textId="00042C53" w:rsidR="00B92C09" w:rsidRPr="000545FF" w:rsidRDefault="00B92C09" w:rsidP="00F36CCD">
      <w:pPr>
        <w:pStyle w:val="Paragraphedeliste"/>
        <w:numPr>
          <w:ilvl w:val="0"/>
          <w:numId w:val="36"/>
        </w:numPr>
        <w:spacing w:after="0" w:line="240" w:lineRule="auto"/>
        <w:contextualSpacing w:val="0"/>
        <w:jc w:val="both"/>
        <w:rPr>
          <w:b/>
        </w:rPr>
      </w:pPr>
      <w:r w:rsidRPr="000545FF">
        <w:rPr>
          <w:b/>
        </w:rPr>
        <w:t>L’approche partenariale mise en place</w:t>
      </w:r>
      <w:r w:rsidR="00F36CCD">
        <w:rPr>
          <w:b/>
        </w:rPr>
        <w:t xml:space="preserve"> : </w:t>
      </w:r>
      <w:r w:rsidR="006E4D70" w:rsidRPr="006E4D70">
        <w:t>b</w:t>
      </w:r>
      <w:r w:rsidR="00F36CCD" w:rsidRPr="000545FF">
        <w:t>ien que le projet doive être porté par une ONG</w:t>
      </w:r>
      <w:r w:rsidR="008E303F">
        <w:t xml:space="preserve"> (française ou étrangère)</w:t>
      </w:r>
      <w:r w:rsidR="00F36CCD" w:rsidRPr="000545FF">
        <w:t>, une approche partenariale est fortement recommandée, combinant notamment et à titre d’exemple ONG du Nord, ONG du Sud, institution financière (IMF, banques, fintech…), centre de recherche, bureau d’études.</w:t>
      </w:r>
      <w:r w:rsidR="006E4D70">
        <w:t xml:space="preserve"> La proposition devra détailler le rôle et la valeur ajoutée de chacun des partenaires retenus et décrire le mode de formalisation </w:t>
      </w:r>
      <w:r w:rsidR="006E4D70">
        <w:lastRenderedPageBreak/>
        <w:t>et d’animation de ce partenariat.</w:t>
      </w:r>
      <w:r w:rsidR="00C903E5">
        <w:t xml:space="preserve"> Si la somme est octroyée à l’ONG porteuse de projet, celle-ci pourra en transférer une partie à ses partenaires (par exemple pour soutenir l’activité de crédit d’une IMF). </w:t>
      </w:r>
    </w:p>
    <w:p w14:paraId="11357680" w14:textId="77777777" w:rsidR="00B976AB" w:rsidRDefault="00B976AB" w:rsidP="000545FF">
      <w:pPr>
        <w:pStyle w:val="Paragraphedeliste"/>
        <w:spacing w:after="0" w:line="240" w:lineRule="auto"/>
        <w:contextualSpacing w:val="0"/>
        <w:jc w:val="both"/>
      </w:pPr>
    </w:p>
    <w:p w14:paraId="3F7BBB60" w14:textId="6F69295E" w:rsidR="0042555E" w:rsidRDefault="0042555E"/>
    <w:p w14:paraId="3CE37CCA" w14:textId="24BB1A22" w:rsidR="00B92C09" w:rsidRDefault="00FE498E" w:rsidP="00A94392">
      <w:pPr>
        <w:pStyle w:val="Titre3"/>
        <w:ind w:firstLine="360"/>
      </w:pPr>
      <w:bookmarkStart w:id="33" w:name="_Toc29476278"/>
      <w:bookmarkStart w:id="34" w:name="_Toc55391576"/>
      <w:r>
        <w:t xml:space="preserve">3.2.2. </w:t>
      </w:r>
      <w:bookmarkEnd w:id="33"/>
      <w:r w:rsidR="00F36CCD">
        <w:t>Analyse du contexte</w:t>
      </w:r>
      <w:bookmarkEnd w:id="34"/>
    </w:p>
    <w:p w14:paraId="6C9BE315" w14:textId="1489188B" w:rsidR="007332DA" w:rsidRDefault="007332DA" w:rsidP="000545FF">
      <w:pPr>
        <w:jc w:val="both"/>
      </w:pPr>
    </w:p>
    <w:p w14:paraId="3F66BAB1" w14:textId="6EDD33BD" w:rsidR="00F152E9" w:rsidRDefault="00F152E9" w:rsidP="00026334">
      <w:pPr>
        <w:jc w:val="both"/>
      </w:pPr>
      <w:r w:rsidRPr="00F36CCD">
        <w:t xml:space="preserve">Les obstacles à </w:t>
      </w:r>
      <w:r>
        <w:t>l’inclusion financière des migrant</w:t>
      </w:r>
      <w:r w:rsidR="00104E1D">
        <w:t>-e-</w:t>
      </w:r>
      <w:r>
        <w:t>s sont nombreux</w:t>
      </w:r>
      <w:r w:rsidR="003508D6">
        <w:t xml:space="preserve"> et multidimensionnels, la proposition de projet devra en présenter une cartographie dans le contexte spécifique de l’intervention</w:t>
      </w:r>
      <w:r w:rsidRPr="00F36CCD">
        <w:t xml:space="preserve">. On citera notamment du côté </w:t>
      </w:r>
      <w:r>
        <w:t>du cadre institutionnel et juridique</w:t>
      </w:r>
      <w:r w:rsidR="008E303F">
        <w:t>.</w:t>
      </w:r>
      <w:r w:rsidR="003508D6">
        <w:t xml:space="preserve"> </w:t>
      </w:r>
      <w:r>
        <w:t>Des mesures de prise en comptes de ces obstacles, qui constituent autant de risques pour le bon déroulement du projet, seront également proposées.</w:t>
      </w:r>
      <w:r w:rsidR="003508D6">
        <w:t xml:space="preserve"> Il convient de préciser que le projet ne pourra pas travailler sur tous ces obstacles, mais seulement reconnaitre qu’ils existent et œuvrer sur des solutions relativement pérennes dans le cadre plus restreint des objectifs du projet.</w:t>
      </w:r>
    </w:p>
    <w:p w14:paraId="422D54BF" w14:textId="3D49FB38" w:rsidR="00F36CCD" w:rsidRPr="000545FF" w:rsidRDefault="00F36CCD">
      <w:pPr>
        <w:jc w:val="both"/>
      </w:pPr>
      <w:r w:rsidRPr="000545FF">
        <w:t>La proposition devra également fournir des éléments d’analyse sur les caractéristiques du système financier local et le degré d’inclusion financière du pays et de la zone ciblée</w:t>
      </w:r>
      <w:r w:rsidR="00104E1D">
        <w:t xml:space="preserve">, avec des données </w:t>
      </w:r>
      <w:r w:rsidR="00C534C0">
        <w:t>sexo-spécifiques, a minima (il pourrait y avoir des données différenciées en fonction d’autres critères, tels que l’origine ethnique, etc.)</w:t>
      </w:r>
      <w:r w:rsidRPr="000545FF">
        <w:t>.</w:t>
      </w:r>
    </w:p>
    <w:p w14:paraId="3C87D868" w14:textId="3EED29B0" w:rsidR="00613944" w:rsidRDefault="00F36CCD" w:rsidP="005364EE">
      <w:pPr>
        <w:jc w:val="both"/>
      </w:pPr>
      <w:r w:rsidRPr="000545FF">
        <w:t xml:space="preserve">Chaque proposition de projet fournira une analyse des parties prenantes, ainsi que des éventuels rapports de force qui sont anticipés. </w:t>
      </w:r>
    </w:p>
    <w:p w14:paraId="20521E1C" w14:textId="14B7FE9E" w:rsidR="00715EA9" w:rsidRDefault="00715EA9" w:rsidP="005364EE">
      <w:pPr>
        <w:spacing w:after="0" w:line="240" w:lineRule="auto"/>
        <w:jc w:val="both"/>
      </w:pPr>
      <w:r w:rsidRPr="005364EE">
        <w:rPr>
          <w:b/>
        </w:rPr>
        <w:t xml:space="preserve">L’intégration de l’approche Ne pas nuire - Méthodes et outils mis en place pour adapter les activités au contexte de crise/vulnérabilité ; </w:t>
      </w:r>
      <w:r w:rsidRPr="005364EE">
        <w:t xml:space="preserve">sur base de l’analyse de contexte local et des vulnérabilités des populations déplacées / migrantes et hôtes qui sera menée, une approche contribuant à la cohésion sociale et la prévention des tensions ou conflits sera proposée ; elle peut nécessiter par exemple d’inclure des populations locales hôtes dans les appuis ou des groupes communautaires spécifiques, dans une démarche sensible aux conflits. </w:t>
      </w:r>
    </w:p>
    <w:p w14:paraId="68D46C71" w14:textId="77777777" w:rsidR="00A668D7" w:rsidRPr="005364EE" w:rsidRDefault="00A668D7" w:rsidP="005364EE">
      <w:pPr>
        <w:spacing w:after="0" w:line="240" w:lineRule="auto"/>
        <w:jc w:val="both"/>
        <w:rPr>
          <w:b/>
        </w:rPr>
      </w:pPr>
    </w:p>
    <w:p w14:paraId="222FFCCF" w14:textId="46100F0C" w:rsidR="00174D2F" w:rsidRDefault="00A668D7" w:rsidP="000545FF">
      <w:pPr>
        <w:pStyle w:val="Titre3"/>
        <w:ind w:firstLine="360"/>
      </w:pPr>
      <w:bookmarkStart w:id="35" w:name="_Toc55391577"/>
      <w:bookmarkStart w:id="36" w:name="_Toc29476284"/>
      <w:r>
        <w:t>3.2.3</w:t>
      </w:r>
      <w:r w:rsidR="003A376D">
        <w:t xml:space="preserve">. </w:t>
      </w:r>
      <w:r w:rsidR="00174D2F">
        <w:t>Analyse de</w:t>
      </w:r>
      <w:r w:rsidR="003A376D">
        <w:t>s</w:t>
      </w:r>
      <w:r w:rsidR="00174D2F">
        <w:t xml:space="preserve"> risques</w:t>
      </w:r>
      <w:bookmarkEnd w:id="35"/>
      <w:r w:rsidR="00174D2F">
        <w:t> </w:t>
      </w:r>
      <w:bookmarkEnd w:id="36"/>
    </w:p>
    <w:p w14:paraId="3CF871BC" w14:textId="4C0E9071" w:rsidR="00174D2F" w:rsidRDefault="00174D2F" w:rsidP="00174D2F"/>
    <w:p w14:paraId="78D1186C" w14:textId="64E4287B" w:rsidR="00F36CCD" w:rsidRDefault="00F152E9" w:rsidP="00174D2F">
      <w:r>
        <w:t xml:space="preserve">En s’appuyant notamment sur l’analyse du contexte, chaque proposition devra fournir une analyse des principaux risques du projet et proposer un cadre de suivi et de maîtrise des risques adapté. </w:t>
      </w:r>
    </w:p>
    <w:p w14:paraId="71D8D40C" w14:textId="38AC7394" w:rsidR="00174D2F" w:rsidRPr="00515386" w:rsidRDefault="00A668D7" w:rsidP="000545FF">
      <w:pPr>
        <w:pStyle w:val="Titre3"/>
        <w:ind w:firstLine="360"/>
      </w:pPr>
      <w:bookmarkStart w:id="37" w:name="_Toc29476285"/>
      <w:bookmarkStart w:id="38" w:name="_Toc55391578"/>
      <w:r>
        <w:t>3.2.4</w:t>
      </w:r>
      <w:r w:rsidR="003508D6">
        <w:t xml:space="preserve"> </w:t>
      </w:r>
      <w:r w:rsidR="00174D2F">
        <w:t>Recours au numérique</w:t>
      </w:r>
      <w:bookmarkEnd w:id="37"/>
      <w:bookmarkEnd w:id="38"/>
    </w:p>
    <w:p w14:paraId="2B17ADD5" w14:textId="23851F90" w:rsidR="007332DA" w:rsidRDefault="007332DA" w:rsidP="000545FF">
      <w:pPr>
        <w:pStyle w:val="Titre3"/>
        <w:ind w:firstLine="360"/>
        <w:rPr>
          <w:u w:val="dotted"/>
        </w:rPr>
      </w:pPr>
    </w:p>
    <w:p w14:paraId="1752E1EF" w14:textId="22C2F5F6" w:rsidR="00EE11C7" w:rsidRPr="000545FF" w:rsidRDefault="00EE11C7" w:rsidP="00026334">
      <w:pPr>
        <w:jc w:val="both"/>
      </w:pPr>
      <w:r w:rsidRPr="005364EE">
        <w:t xml:space="preserve">Le développement de la finance numérique a véhiculé ces dernières années la promesse d’une amélioration de l’inclusion financière des populations les plus vulnérables et d’un accès amélioré à une gamme plus diversifiée de services </w:t>
      </w:r>
      <w:r w:rsidRPr="00026334">
        <w:t xml:space="preserve">financiers numériques (SFN) devenus moins coûteux. </w:t>
      </w:r>
      <w:r w:rsidR="00174D2F" w:rsidRPr="00026334">
        <w:t xml:space="preserve">Le projet pourra exploiter le potentiel </w:t>
      </w:r>
      <w:r w:rsidRPr="00026334">
        <w:t>du numérique</w:t>
      </w:r>
      <w:r w:rsidR="00174D2F" w:rsidRPr="00026334">
        <w:t xml:space="preserve"> en gardant à l’esprit les risques attachés à leur utilisation</w:t>
      </w:r>
      <w:r w:rsidR="00C903E5">
        <w:t xml:space="preserve"> : capital technologique et humain (éducation numérique et financière) insuffisant, cybersécurité, protection des consommateurs </w:t>
      </w:r>
      <w:r w:rsidR="00C534C0">
        <w:t>et consommatrices,</w:t>
      </w:r>
      <w:r w:rsidR="00AF691A">
        <w:t xml:space="preserve"> exclusion des populations les plus vulnérables (notamment les femmes),</w:t>
      </w:r>
      <w:r w:rsidR="00C534C0">
        <w:t xml:space="preserve"> </w:t>
      </w:r>
      <w:r w:rsidR="00C903E5">
        <w:t>etc.</w:t>
      </w:r>
      <w:r>
        <w:t xml:space="preserve">   </w:t>
      </w:r>
    </w:p>
    <w:p w14:paraId="1DA4F14F" w14:textId="2F8F2079" w:rsidR="007332DA" w:rsidRPr="00C03A00" w:rsidRDefault="007332DA" w:rsidP="000545FF">
      <w:pPr>
        <w:spacing w:after="0"/>
        <w:jc w:val="both"/>
      </w:pPr>
    </w:p>
    <w:p w14:paraId="4B947671" w14:textId="45209FCE" w:rsidR="00174D2F" w:rsidRDefault="00A668D7" w:rsidP="000545FF">
      <w:pPr>
        <w:pStyle w:val="Titre3"/>
        <w:ind w:firstLine="360"/>
      </w:pPr>
      <w:bookmarkStart w:id="39" w:name="_Toc29476288"/>
      <w:bookmarkStart w:id="40" w:name="_Toc55391579"/>
      <w:r>
        <w:lastRenderedPageBreak/>
        <w:t>3.2.5</w:t>
      </w:r>
      <w:r w:rsidR="003A376D">
        <w:t xml:space="preserve">. </w:t>
      </w:r>
      <w:r w:rsidR="00174D2F" w:rsidRPr="00E60C13">
        <w:t>Analyse des conditions de pérennisation et de changement d’échelle de la démarche innovante proposée</w:t>
      </w:r>
      <w:bookmarkEnd w:id="39"/>
      <w:bookmarkEnd w:id="40"/>
    </w:p>
    <w:p w14:paraId="7CEC1DA9" w14:textId="66071E16" w:rsidR="00174D2F" w:rsidRDefault="00174D2F" w:rsidP="000545FF">
      <w:pPr>
        <w:spacing w:after="0"/>
      </w:pPr>
    </w:p>
    <w:p w14:paraId="1697C148" w14:textId="4A7F8DFE" w:rsidR="00174D2F" w:rsidRDefault="00174D2F" w:rsidP="00026334">
      <w:pPr>
        <w:jc w:val="both"/>
      </w:pPr>
      <w:r>
        <w:t xml:space="preserve">Le projet devra décrire </w:t>
      </w:r>
      <w:r w:rsidRPr="00790596">
        <w:t>les mesures programmées qui permettront d’une part la pérennité</w:t>
      </w:r>
      <w:r>
        <w:t xml:space="preserve"> -</w:t>
      </w:r>
      <w:r w:rsidRPr="00790596">
        <w:t xml:space="preserve"> aprè</w:t>
      </w:r>
      <w:r>
        <w:t xml:space="preserve">s la </w:t>
      </w:r>
      <w:r w:rsidRPr="00790596">
        <w:t>fin du projet</w:t>
      </w:r>
      <w:r>
        <w:t xml:space="preserve"> -</w:t>
      </w:r>
      <w:r w:rsidRPr="00790596">
        <w:t xml:space="preserve"> des dynamiques</w:t>
      </w:r>
      <w:r>
        <w:t xml:space="preserve"> enclenchées</w:t>
      </w:r>
      <w:r w:rsidR="00F152E9">
        <w:t xml:space="preserve"> notamment en termes de viabilité financière du modèle proposé</w:t>
      </w:r>
      <w:r>
        <w:t>, d’autre part le passage à l’échelle – le cas échéant – du projet. L’ONG soumissionnaire fournira :</w:t>
      </w:r>
    </w:p>
    <w:p w14:paraId="56DEB77A" w14:textId="79B24AC5" w:rsidR="00174D2F" w:rsidRDefault="00174D2F">
      <w:pPr>
        <w:pStyle w:val="Paragraphedeliste"/>
        <w:numPr>
          <w:ilvl w:val="0"/>
          <w:numId w:val="38"/>
        </w:numPr>
        <w:spacing w:after="0" w:line="240" w:lineRule="auto"/>
        <w:contextualSpacing w:val="0"/>
        <w:jc w:val="both"/>
      </w:pPr>
      <w:r>
        <w:t>Une analyse des possibles passages à l’échelle</w:t>
      </w:r>
      <w:r w:rsidR="00C534C0">
        <w:t> </w:t>
      </w:r>
      <w:r>
        <w:t>;</w:t>
      </w:r>
    </w:p>
    <w:p w14:paraId="3931B8BC" w14:textId="77777777" w:rsidR="00174D2F" w:rsidRDefault="00174D2F">
      <w:pPr>
        <w:pStyle w:val="Paragraphedeliste"/>
        <w:numPr>
          <w:ilvl w:val="0"/>
          <w:numId w:val="38"/>
        </w:numPr>
        <w:spacing w:after="0" w:line="240" w:lineRule="auto"/>
        <w:contextualSpacing w:val="0"/>
        <w:jc w:val="both"/>
      </w:pPr>
      <w:r>
        <w:t>Une description des acteurs relais pour la pérennisation / le passage à l’échelle de l’action ;</w:t>
      </w:r>
    </w:p>
    <w:p w14:paraId="4388CFF9" w14:textId="77777777" w:rsidR="00174D2F" w:rsidRDefault="00174D2F">
      <w:pPr>
        <w:pStyle w:val="Paragraphedeliste"/>
        <w:numPr>
          <w:ilvl w:val="0"/>
          <w:numId w:val="38"/>
        </w:numPr>
        <w:spacing w:after="0" w:line="240" w:lineRule="auto"/>
        <w:contextualSpacing w:val="0"/>
        <w:jc w:val="both"/>
      </w:pPr>
      <w:r>
        <w:t>Le changement de positionnement requis de la part de l’ONG (par exemple passer du rôle d’opérateur au rôle d’accompagnateur) ;</w:t>
      </w:r>
    </w:p>
    <w:p w14:paraId="4A67FD59" w14:textId="5B8E1F26" w:rsidR="00462E87" w:rsidRDefault="00174D2F">
      <w:pPr>
        <w:pStyle w:val="Paragraphedeliste"/>
        <w:numPr>
          <w:ilvl w:val="0"/>
          <w:numId w:val="38"/>
        </w:numPr>
        <w:spacing w:after="0" w:line="240" w:lineRule="auto"/>
        <w:contextualSpacing w:val="0"/>
        <w:jc w:val="both"/>
      </w:pPr>
      <w:r>
        <w:t>Une analyse du chemin critique pour la pérennisation</w:t>
      </w:r>
      <w:r w:rsidR="00F152E9">
        <w:t>,</w:t>
      </w:r>
      <w:r>
        <w:t xml:space="preserve"> l’atteinte d</w:t>
      </w:r>
      <w:r w:rsidR="00F152E9">
        <w:t>e la viabilité financière ou d</w:t>
      </w:r>
      <w:r>
        <w:t>u passage à l’échelle ;</w:t>
      </w:r>
    </w:p>
    <w:p w14:paraId="24FF26E2" w14:textId="27969EA7" w:rsidR="0095034D" w:rsidRDefault="00174D2F" w:rsidP="00135B96">
      <w:pPr>
        <w:pStyle w:val="Paragraphedeliste"/>
        <w:numPr>
          <w:ilvl w:val="0"/>
          <w:numId w:val="38"/>
        </w:numPr>
        <w:spacing w:after="0" w:line="240" w:lineRule="auto"/>
        <w:contextualSpacing w:val="0"/>
        <w:jc w:val="both"/>
      </w:pPr>
      <w:r>
        <w:t>Une description des relais de financements locaux pour la pérennisation</w:t>
      </w:r>
      <w:r w:rsidR="00F152E9">
        <w:t>,</w:t>
      </w:r>
      <w:r>
        <w:t xml:space="preserve"> l’atteinte</w:t>
      </w:r>
      <w:r w:rsidR="00F152E9">
        <w:t xml:space="preserve"> de la viabilité financière ou</w:t>
      </w:r>
      <w:r>
        <w:t xml:space="preserve"> du passage à l’échelle.</w:t>
      </w:r>
    </w:p>
    <w:p w14:paraId="502B5502" w14:textId="47EB569C" w:rsidR="0095034D" w:rsidRDefault="0095034D" w:rsidP="00875F65">
      <w:pPr>
        <w:spacing w:after="0" w:line="240" w:lineRule="auto"/>
        <w:jc w:val="both"/>
      </w:pPr>
    </w:p>
    <w:p w14:paraId="2A668001" w14:textId="3E41DAF9" w:rsidR="0095034D" w:rsidRDefault="00EB5A4C" w:rsidP="00875F65">
      <w:pPr>
        <w:spacing w:after="0" w:line="240" w:lineRule="auto"/>
        <w:jc w:val="both"/>
      </w:pPr>
      <w:r>
        <w:t>L</w:t>
      </w:r>
      <w:r w:rsidR="00ED6A32">
        <w:t>a proposition devra démontrer que ces mesures de pérennisation et/ou de passage à l’échelle se font dans le respect de l’approche genre adoptée par le projet.</w:t>
      </w:r>
    </w:p>
    <w:p w14:paraId="3773DB5C" w14:textId="7C4DA4F8" w:rsidR="00B82ACF" w:rsidRDefault="00EE11C7" w:rsidP="00B82ACF">
      <w:pPr>
        <w:pStyle w:val="Titre2"/>
        <w:keepLines w:val="0"/>
        <w:numPr>
          <w:ilvl w:val="1"/>
          <w:numId w:val="0"/>
        </w:numPr>
        <w:spacing w:before="120" w:after="120" w:line="240" w:lineRule="auto"/>
        <w:ind w:left="680" w:hanging="680"/>
        <w:jc w:val="both"/>
      </w:pPr>
      <w:bookmarkStart w:id="41" w:name="_Toc26784634"/>
      <w:bookmarkStart w:id="42" w:name="_Toc29476289"/>
      <w:bookmarkStart w:id="43" w:name="_Toc55391580"/>
      <w:r>
        <w:t xml:space="preserve">3.3. </w:t>
      </w:r>
      <w:r w:rsidR="00B82ACF">
        <w:t>Évaluation et capitalisation sous l’angle de l’innovation</w:t>
      </w:r>
      <w:bookmarkEnd w:id="41"/>
      <w:bookmarkEnd w:id="42"/>
      <w:bookmarkEnd w:id="43"/>
    </w:p>
    <w:p w14:paraId="72B32B37" w14:textId="3A73D253" w:rsidR="00B82ACF" w:rsidRPr="00443133" w:rsidRDefault="00A668D7" w:rsidP="00A668D7">
      <w:pPr>
        <w:pStyle w:val="Titre3"/>
        <w:keepLines w:val="0"/>
        <w:numPr>
          <w:ilvl w:val="2"/>
          <w:numId w:val="0"/>
        </w:numPr>
        <w:spacing w:before="240" w:after="240" w:line="240" w:lineRule="auto"/>
        <w:ind w:left="284" w:firstLine="142"/>
        <w:jc w:val="both"/>
      </w:pPr>
      <w:bookmarkStart w:id="44" w:name="_Toc29476290"/>
      <w:bookmarkStart w:id="45" w:name="_Toc55391581"/>
      <w:r>
        <w:t xml:space="preserve">3.3.1 </w:t>
      </w:r>
      <w:r w:rsidR="00B82ACF" w:rsidRPr="00443133">
        <w:t>Démarche d’innovation</w:t>
      </w:r>
      <w:bookmarkEnd w:id="44"/>
      <w:bookmarkEnd w:id="45"/>
    </w:p>
    <w:p w14:paraId="5E8DD22B" w14:textId="77777777" w:rsidR="00B82ACF" w:rsidRPr="00832D23" w:rsidRDefault="00B82ACF" w:rsidP="00026334">
      <w:pPr>
        <w:pStyle w:val="NormalWeb"/>
        <w:spacing w:after="0"/>
        <w:jc w:val="both"/>
        <w:rPr>
          <w:rFonts w:asciiTheme="minorHAnsi" w:hAnsiTheme="minorHAnsi" w:cstheme="minorHAnsi"/>
          <w:color w:val="000000"/>
          <w:sz w:val="22"/>
          <w:szCs w:val="22"/>
        </w:rPr>
      </w:pPr>
      <w:r w:rsidRPr="000545FF">
        <w:rPr>
          <w:rFonts w:asciiTheme="minorHAnsi" w:hAnsiTheme="minorHAnsi" w:cstheme="minorHAnsi"/>
          <w:color w:val="000000"/>
          <w:sz w:val="22"/>
          <w:szCs w:val="22"/>
        </w:rPr>
        <w:t xml:space="preserve">Les ONG devront expliciter les hypothèses innovantes qu’elles </w:t>
      </w:r>
      <w:r w:rsidRPr="00832D23">
        <w:rPr>
          <w:rFonts w:asciiTheme="minorHAnsi" w:hAnsiTheme="minorHAnsi" w:cstheme="minorHAnsi"/>
          <w:color w:val="000000"/>
          <w:sz w:val="22"/>
          <w:szCs w:val="22"/>
        </w:rPr>
        <w:t xml:space="preserve">cherchent à tester. Elles proposeront la manière dont elles entendent : </w:t>
      </w:r>
    </w:p>
    <w:p w14:paraId="01C498C3" w14:textId="2D593CCE" w:rsidR="00B82ACF" w:rsidRPr="00832D23" w:rsidRDefault="002E6424">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Identifier</w:t>
      </w:r>
      <w:r w:rsidR="00B82ACF" w:rsidRPr="00832D23">
        <w:rPr>
          <w:rFonts w:asciiTheme="minorHAnsi" w:hAnsiTheme="minorHAnsi" w:cstheme="minorHAnsi"/>
          <w:color w:val="000000"/>
          <w:sz w:val="22"/>
          <w:szCs w:val="22"/>
        </w:rPr>
        <w:t xml:space="preserve"> les principales questions de recherche ;</w:t>
      </w:r>
    </w:p>
    <w:p w14:paraId="6E251BD9" w14:textId="537E637B" w:rsidR="00B82ACF" w:rsidRPr="00832D23" w:rsidRDefault="002E6424">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Préciser</w:t>
      </w:r>
      <w:r w:rsidR="00B82ACF" w:rsidRPr="00832D23">
        <w:rPr>
          <w:rFonts w:asciiTheme="minorHAnsi" w:hAnsiTheme="minorHAnsi" w:cstheme="minorHAnsi"/>
          <w:color w:val="000000"/>
          <w:sz w:val="22"/>
          <w:szCs w:val="22"/>
        </w:rPr>
        <w:t xml:space="preserve"> les indicateurs à utiliser pour répondre aux questions, ainsi que les sources d’informations correspondantes ;</w:t>
      </w:r>
    </w:p>
    <w:p w14:paraId="20AA37B7" w14:textId="32BB4BD0" w:rsidR="00B82ACF" w:rsidRPr="00832D23" w:rsidRDefault="002E6424">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Établir</w:t>
      </w:r>
      <w:r w:rsidR="00B82ACF" w:rsidRPr="00832D23">
        <w:rPr>
          <w:rFonts w:asciiTheme="minorHAnsi" w:hAnsiTheme="minorHAnsi" w:cstheme="minorHAnsi"/>
          <w:color w:val="000000"/>
          <w:sz w:val="22"/>
          <w:szCs w:val="22"/>
        </w:rPr>
        <w:t xml:space="preserve"> les étapes du raisonnement qui permettront de répondre aux questions (critères d’appréciation).</w:t>
      </w:r>
    </w:p>
    <w:p w14:paraId="1D7EF5D5" w14:textId="2AA9B7AF" w:rsidR="00A6527B" w:rsidRPr="00832D23" w:rsidRDefault="00A6527B">
      <w:pPr>
        <w:pStyle w:val="NormalWeb"/>
        <w:spacing w:before="60" w:beforeAutospacing="0" w:after="0" w:afterAutospacing="0"/>
        <w:jc w:val="both"/>
        <w:rPr>
          <w:rFonts w:asciiTheme="minorHAnsi" w:hAnsiTheme="minorHAnsi" w:cstheme="minorHAnsi"/>
          <w:color w:val="000000"/>
          <w:sz w:val="22"/>
          <w:szCs w:val="22"/>
        </w:rPr>
      </w:pPr>
      <w:r w:rsidRPr="005364EE">
        <w:rPr>
          <w:rFonts w:asciiTheme="minorHAnsi" w:hAnsiTheme="minorHAnsi" w:cstheme="minorHAnsi"/>
          <w:sz w:val="22"/>
          <w:szCs w:val="22"/>
        </w:rPr>
        <w:t>L’approche partenariale retenue peut d’ailleurs constituer en soi une innovation organisationnelle lorsqu’elle permet de lever certains obstacles persistants, de répondre à un objectif d’inclusion financière plus ambitieux, de toucher de nouvelles cibles, etc.</w:t>
      </w:r>
    </w:p>
    <w:p w14:paraId="3D2836D4" w14:textId="1F94D079" w:rsidR="00B82ACF" w:rsidRDefault="00A668D7" w:rsidP="00A668D7">
      <w:pPr>
        <w:pStyle w:val="Titre3"/>
        <w:keepLines w:val="0"/>
        <w:numPr>
          <w:ilvl w:val="2"/>
          <w:numId w:val="0"/>
        </w:numPr>
        <w:spacing w:before="240" w:after="240" w:line="240" w:lineRule="auto"/>
        <w:ind w:left="284" w:firstLine="142"/>
        <w:jc w:val="both"/>
      </w:pPr>
      <w:bookmarkStart w:id="46" w:name="_Toc29476291"/>
      <w:bookmarkStart w:id="47" w:name="_Toc55391582"/>
      <w:r>
        <w:t xml:space="preserve">3.3.2 </w:t>
      </w:r>
      <w:r w:rsidR="00B82ACF">
        <w:t>S</w:t>
      </w:r>
      <w:r w:rsidR="00B82ACF" w:rsidRPr="00650A49">
        <w:t xml:space="preserve">uivi et évaluation du </w:t>
      </w:r>
      <w:r w:rsidR="00B82ACF">
        <w:t>projet</w:t>
      </w:r>
      <w:bookmarkEnd w:id="46"/>
      <w:bookmarkEnd w:id="47"/>
    </w:p>
    <w:p w14:paraId="4ACC4A91" w14:textId="36D7E289" w:rsidR="00B82ACF" w:rsidRDefault="00B82ACF" w:rsidP="000545FF">
      <w:pPr>
        <w:jc w:val="both"/>
      </w:pPr>
      <w:r>
        <w:t xml:space="preserve">Les ONG proposeront un dispositif de suivi-évaluation </w:t>
      </w:r>
      <w:r w:rsidR="004A5E02">
        <w:t xml:space="preserve">qui intègrera, outre </w:t>
      </w:r>
      <w:r w:rsidR="006C7E2F">
        <w:t xml:space="preserve">le monitoring </w:t>
      </w:r>
      <w:r>
        <w:t>des activités</w:t>
      </w:r>
      <w:r w:rsidR="004A5E02">
        <w:t xml:space="preserve">, des éléments de suivi qualitatif et participatif, permettant de mesurer le niveau de satisfaction des populations ciblées à travers des indicateurs de suivi qualitatif. </w:t>
      </w:r>
      <w:r w:rsidR="00C534C0">
        <w:t xml:space="preserve">Ce dispositif de suivi-évaluation devra être sexo-spécifique, afin de mesurer la réduction des écarts de genre. </w:t>
      </w:r>
    </w:p>
    <w:p w14:paraId="56CAF0DF" w14:textId="5B744AEE" w:rsidR="004A5E02" w:rsidRDefault="00B82ACF" w:rsidP="000545FF">
      <w:pPr>
        <w:jc w:val="both"/>
      </w:pPr>
      <w:r>
        <w:t xml:space="preserve">La capacité du projet à répondre à/aux objectif(s) d’inclusion ciblé(s) devra être au cœur du dispositif d’évaluation. </w:t>
      </w:r>
      <w:r w:rsidRPr="001D23B4">
        <w:t xml:space="preserve">Il est attendu que </w:t>
      </w:r>
      <w:r>
        <w:t xml:space="preserve">le </w:t>
      </w:r>
      <w:r w:rsidRPr="001D23B4">
        <w:t xml:space="preserve">suivi et évaluation </w:t>
      </w:r>
      <w:r>
        <w:t>tienne compte du caractère vulnérable</w:t>
      </w:r>
      <w:r w:rsidR="008E303F">
        <w:t xml:space="preserve"> des populations cibles et</w:t>
      </w:r>
      <w:r>
        <w:t xml:space="preserve"> de la zone d’intervention</w:t>
      </w:r>
      <w:r w:rsidRPr="001D23B4">
        <w:t xml:space="preserve">. </w:t>
      </w:r>
    </w:p>
    <w:p w14:paraId="62277A87" w14:textId="03729CF2" w:rsidR="004A5E02" w:rsidRDefault="00BB3A6E" w:rsidP="000545FF">
      <w:pPr>
        <w:jc w:val="both"/>
      </w:pPr>
      <w:r>
        <w:t>Le dispositif de suivi-évaluation</w:t>
      </w:r>
      <w:r w:rsidR="004A5E02">
        <w:t xml:space="preserve"> et le cadre logique intègreront donc des indicateurs de suivi quantitatif, qualitatifs, ainsi que des éléments relatifs au contexte local. </w:t>
      </w:r>
    </w:p>
    <w:p w14:paraId="0C5BB650" w14:textId="711C5E15" w:rsidR="003602ED" w:rsidRDefault="00B82ACF" w:rsidP="000545FF">
      <w:pPr>
        <w:jc w:val="both"/>
      </w:pPr>
      <w:r w:rsidRPr="004524FE">
        <w:lastRenderedPageBreak/>
        <w:t>Seront encouragés les dispositifs adaptatifs permettant de saisir ce qui est réellement en jeu en cours d’intervention et où se fait le plus sentir la nécessité d’aménagements et de réorientation</w:t>
      </w:r>
      <w:r w:rsidR="004A5E02">
        <w:t xml:space="preserve">s, </w:t>
      </w:r>
      <w:r>
        <w:t>envisageables dans le cadre de la présente FISONG</w:t>
      </w:r>
      <w:r w:rsidR="003602ED">
        <w:t xml:space="preserve"> (ex. en cas de détérioration soudaine d’une situation ou d’une arrivée massive de déplacé</w:t>
      </w:r>
      <w:r w:rsidR="00C534C0">
        <w:t>-e-</w:t>
      </w:r>
      <w:r w:rsidR="003602ED">
        <w:t>s forcé</w:t>
      </w:r>
      <w:r w:rsidR="00C534C0">
        <w:t>-e-</w:t>
      </w:r>
      <w:r w:rsidR="003602ED">
        <w:t>s dans une zone).</w:t>
      </w:r>
    </w:p>
    <w:p w14:paraId="5BD8B5D0" w14:textId="630654D0" w:rsidR="00B82ACF" w:rsidRDefault="004A5E02" w:rsidP="000545FF">
      <w:pPr>
        <w:jc w:val="both"/>
      </w:pPr>
      <w:r>
        <w:t xml:space="preserve">En complément, les ONG préciseront les </w:t>
      </w:r>
      <w:r w:rsidR="003602ED">
        <w:t xml:space="preserve">types de </w:t>
      </w:r>
      <w:r>
        <w:t>mécanismes de plainte ou de remontées d’information sécurisés et/ou anonymes qui seront accessible</w:t>
      </w:r>
      <w:r w:rsidR="003602ED">
        <w:t>s</w:t>
      </w:r>
      <w:r>
        <w:t xml:space="preserve"> </w:t>
      </w:r>
      <w:r w:rsidR="003602ED">
        <w:t xml:space="preserve">gratuitement </w:t>
      </w:r>
      <w:r>
        <w:t xml:space="preserve">à toute personne dans les </w:t>
      </w:r>
      <w:r w:rsidR="003602ED">
        <w:t xml:space="preserve">zones d’intervention du projet, et la manière dont ces informations seront traitées. </w:t>
      </w:r>
    </w:p>
    <w:p w14:paraId="08D345E7" w14:textId="3BB7D435" w:rsidR="00B82ACF" w:rsidRPr="00443133" w:rsidRDefault="00A668D7" w:rsidP="00A668D7">
      <w:pPr>
        <w:pStyle w:val="Titre3"/>
        <w:keepLines w:val="0"/>
        <w:numPr>
          <w:ilvl w:val="2"/>
          <w:numId w:val="0"/>
        </w:numPr>
        <w:spacing w:before="240" w:after="240" w:line="240" w:lineRule="auto"/>
        <w:ind w:left="284" w:firstLine="142"/>
        <w:jc w:val="both"/>
      </w:pPr>
      <w:bookmarkStart w:id="48" w:name="_Toc29476293"/>
      <w:bookmarkStart w:id="49" w:name="_Toc55391583"/>
      <w:r>
        <w:t xml:space="preserve">3.3.3 </w:t>
      </w:r>
      <w:r w:rsidR="00B82ACF" w:rsidRPr="00443133">
        <w:t>Capitalisation</w:t>
      </w:r>
      <w:bookmarkEnd w:id="48"/>
      <w:bookmarkEnd w:id="49"/>
    </w:p>
    <w:p w14:paraId="2C2D5D4D" w14:textId="77777777" w:rsidR="00B82ACF" w:rsidRDefault="00B82ACF" w:rsidP="000545FF">
      <w:pPr>
        <w:jc w:val="both"/>
      </w:pPr>
      <w:r w:rsidRPr="00F87C1C">
        <w:t xml:space="preserve">La capitalisation est </w:t>
      </w:r>
      <w:r>
        <w:t>un objectif important d</w:t>
      </w:r>
      <w:r w:rsidRPr="00F87C1C">
        <w:t>es projets innovants</w:t>
      </w:r>
      <w:r>
        <w:t xml:space="preserve"> financés par la FISONG</w:t>
      </w:r>
      <w:r w:rsidRPr="00F87C1C">
        <w:t xml:space="preserve">. </w:t>
      </w:r>
      <w:r>
        <w:t xml:space="preserve">Chaque ONG devra mettre en place un dispositif de capitalisation intégré au projet. </w:t>
      </w:r>
    </w:p>
    <w:p w14:paraId="63611728" w14:textId="7FD910E0" w:rsidR="00B82ACF" w:rsidRDefault="00B82ACF" w:rsidP="000545FF">
      <w:pPr>
        <w:jc w:val="both"/>
      </w:pPr>
      <w:r>
        <w:t xml:space="preserve">La capitalisation « projet » portée par les ONG devra être co-construite avec les bénéficiaires </w:t>
      </w:r>
      <w:r w:rsidRPr="003F1BC0">
        <w:t xml:space="preserve">(acteurs locaux, bailleur, porteurs </w:t>
      </w:r>
      <w:r w:rsidR="00C534C0">
        <w:t xml:space="preserve">et porteuses </w:t>
      </w:r>
      <w:r w:rsidRPr="003F1BC0">
        <w:t>de projets, etc.)</w:t>
      </w:r>
      <w:r>
        <w:t>.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14:paraId="1EC23E9D" w14:textId="65B79199" w:rsidR="00B82ACF" w:rsidRPr="00026334" w:rsidRDefault="00B82ACF" w:rsidP="000545FF">
      <w:pPr>
        <w:jc w:val="both"/>
        <w:rPr>
          <w:rFonts w:cstheme="minorHAnsi"/>
        </w:rPr>
      </w:pPr>
      <w:r>
        <w:t xml:space="preserve">Ce dispositif « projet » devra s’articuler avec un dispositif transversal fourni par ailleurs par la FISONG. Ce </w:t>
      </w:r>
      <w:r>
        <w:rPr>
          <w:color w:val="000000"/>
        </w:rPr>
        <w:t xml:space="preserve">dispositif transversal de capitalisation devrait être porté et animé par un prestataire recruté sur appel d’offres par l’AFD. </w:t>
      </w:r>
      <w:r>
        <w:t>L’objectif principal est de c</w:t>
      </w:r>
      <w:r w:rsidRPr="00D03943">
        <w:t xml:space="preserve">apitaliser sur les expériences financées afin de faire bénéficier des apprentissages à l’ensemble des acteurs </w:t>
      </w:r>
      <w:r w:rsidR="00C534C0">
        <w:t xml:space="preserve">et actrices </w:t>
      </w:r>
      <w:r w:rsidRPr="00D03943">
        <w:t>concerné</w:t>
      </w:r>
      <w:r w:rsidR="00C534C0">
        <w:t>-e-</w:t>
      </w:r>
      <w:r w:rsidRPr="00D03943">
        <w:t xml:space="preserve">s par les enjeux traités (en premier les acteurs </w:t>
      </w:r>
      <w:r w:rsidR="00C534C0">
        <w:t xml:space="preserve">et actrices </w:t>
      </w:r>
      <w:r w:rsidRPr="00D03943">
        <w:t>des pays bénéficiaires des projets</w:t>
      </w:r>
      <w:r>
        <w:t xml:space="preserve">, </w:t>
      </w:r>
      <w:r w:rsidRPr="00D03943">
        <w:t>mais aussi les ONG et les bailleurs), pour porter les innovations mises en œuvre au-delà de l’échelle des projets.</w:t>
      </w:r>
      <w:r>
        <w:t xml:space="preserve"> Les attentes principales associées à ce dispositif transversal sont les suivantes :</w:t>
      </w:r>
    </w:p>
    <w:p w14:paraId="1CE8C1CA" w14:textId="1AD82921" w:rsidR="00B82ACF" w:rsidRPr="00026334" w:rsidRDefault="00832D23" w:rsidP="00B82ACF">
      <w:pPr>
        <w:pStyle w:val="NormalWeb"/>
        <w:numPr>
          <w:ilvl w:val="0"/>
          <w:numId w:val="36"/>
        </w:numPr>
        <w:spacing w:before="60" w:beforeAutospacing="0" w:after="0" w:afterAutospacing="0"/>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Contribuer</w:t>
      </w:r>
      <w:r w:rsidR="00B82ACF" w:rsidRPr="00026334">
        <w:rPr>
          <w:rFonts w:asciiTheme="minorHAnsi" w:hAnsiTheme="minorHAnsi" w:cstheme="minorHAnsi"/>
          <w:color w:val="000000"/>
          <w:sz w:val="22"/>
          <w:szCs w:val="22"/>
        </w:rPr>
        <w:t xml:space="preserve"> à la finalisation des documents des projets sélectionnés et structurer la méthode de capitalisation ;</w:t>
      </w:r>
    </w:p>
    <w:p w14:paraId="285F1111" w14:textId="71AE94E0" w:rsidR="00B82ACF" w:rsidRPr="00026334" w:rsidRDefault="00832D23" w:rsidP="00B82ACF">
      <w:pPr>
        <w:pStyle w:val="NormalWeb"/>
        <w:numPr>
          <w:ilvl w:val="0"/>
          <w:numId w:val="36"/>
        </w:numPr>
        <w:spacing w:before="60" w:beforeAutospacing="0" w:after="0" w:afterAutospacing="0"/>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Identifier</w:t>
      </w:r>
      <w:r w:rsidR="00B82ACF" w:rsidRPr="00026334">
        <w:rPr>
          <w:rFonts w:asciiTheme="minorHAnsi" w:hAnsiTheme="minorHAnsi" w:cstheme="minorHAnsi"/>
          <w:color w:val="000000"/>
          <w:sz w:val="22"/>
          <w:szCs w:val="22"/>
        </w:rPr>
        <w:t>, stimuler et évaluer les innovations portées par les projets sur la base de rapportages réguliers fournis par les ONG ;</w:t>
      </w:r>
    </w:p>
    <w:p w14:paraId="621E72DE" w14:textId="519256ED" w:rsidR="00B82ACF" w:rsidRPr="00026334" w:rsidRDefault="00832D23" w:rsidP="00B82ACF">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Recadrer</w:t>
      </w:r>
      <w:r w:rsidR="00B82ACF" w:rsidRPr="00026334">
        <w:rPr>
          <w:rFonts w:asciiTheme="minorHAnsi" w:hAnsiTheme="minorHAnsi" w:cstheme="minorHAnsi"/>
          <w:color w:val="000000"/>
          <w:sz w:val="22"/>
          <w:szCs w:val="22"/>
        </w:rPr>
        <w:t>, pendant l’exécution et le cas échéant, certains axes de recherche portés par un projet ;</w:t>
      </w:r>
    </w:p>
    <w:p w14:paraId="4529A99B" w14:textId="761D9E2E" w:rsidR="00B82ACF" w:rsidRPr="00026334" w:rsidRDefault="00832D23" w:rsidP="00B82ACF">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Apprécier</w:t>
      </w:r>
      <w:r w:rsidR="00B82ACF" w:rsidRPr="00026334">
        <w:rPr>
          <w:rFonts w:asciiTheme="minorHAnsi" w:hAnsiTheme="minorHAnsi" w:cstheme="minorHAnsi"/>
          <w:color w:val="000000"/>
          <w:sz w:val="22"/>
          <w:szCs w:val="22"/>
        </w:rPr>
        <w:t xml:space="preserve"> la qualité et les impacts liés à chacun des projets financés ;</w:t>
      </w:r>
    </w:p>
    <w:p w14:paraId="6A5C7BEB" w14:textId="694A53FA" w:rsidR="00B82ACF" w:rsidRPr="00026334" w:rsidRDefault="00832D23" w:rsidP="00B82ACF">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Formuler</w:t>
      </w:r>
      <w:r w:rsidR="00B82ACF" w:rsidRPr="00026334">
        <w:rPr>
          <w:rFonts w:asciiTheme="minorHAnsi" w:hAnsiTheme="minorHAnsi" w:cstheme="minorHAnsi"/>
          <w:color w:val="000000"/>
          <w:sz w:val="22"/>
          <w:szCs w:val="22"/>
        </w:rPr>
        <w:t xml:space="preserve"> et diffuser des enseignements sur la FISONG 2021 inclusion financière en zones vulnérables selon des axes de capitalisation à préciser ;</w:t>
      </w:r>
    </w:p>
    <w:p w14:paraId="2F6807AA" w14:textId="3A79B434" w:rsidR="00B82ACF" w:rsidRPr="00875F65" w:rsidRDefault="00832D23" w:rsidP="00B82ACF">
      <w:pPr>
        <w:pStyle w:val="NormalWeb"/>
        <w:numPr>
          <w:ilvl w:val="0"/>
          <w:numId w:val="36"/>
        </w:numPr>
        <w:spacing w:before="60" w:beforeAutospacing="0" w:after="0" w:afterAutospacing="0"/>
        <w:ind w:left="714" w:hanging="357"/>
        <w:jc w:val="both"/>
        <w:rPr>
          <w:rFonts w:asciiTheme="minorHAnsi" w:hAnsiTheme="minorHAnsi" w:cstheme="minorHAnsi"/>
          <w:color w:val="000000"/>
          <w:sz w:val="22"/>
          <w:szCs w:val="22"/>
        </w:rPr>
      </w:pPr>
      <w:r w:rsidRPr="00832D23">
        <w:rPr>
          <w:rFonts w:asciiTheme="minorHAnsi" w:hAnsiTheme="minorHAnsi" w:cstheme="minorHAnsi"/>
          <w:color w:val="000000"/>
          <w:sz w:val="22"/>
          <w:szCs w:val="22"/>
        </w:rPr>
        <w:t>Mettre</w:t>
      </w:r>
      <w:r w:rsidR="00B82ACF" w:rsidRPr="00026334">
        <w:rPr>
          <w:rFonts w:asciiTheme="minorHAnsi" w:hAnsiTheme="minorHAnsi" w:cstheme="minorHAnsi"/>
          <w:color w:val="000000"/>
          <w:sz w:val="22"/>
          <w:szCs w:val="22"/>
        </w:rPr>
        <w:t xml:space="preserve"> en perspective et enrichir les enseignements issus de la FISONG 2021 en échangeant avec d’autres projets hors du cadre de cette FISONG.</w:t>
      </w:r>
    </w:p>
    <w:p w14:paraId="44FAE0FF" w14:textId="7FD04D72" w:rsidR="00B82ACF" w:rsidRPr="00BB3A6E" w:rsidRDefault="00BB3A6E" w:rsidP="00B82ACF">
      <w:pPr>
        <w:pStyle w:val="Titre1"/>
        <w:keepLines w:val="0"/>
        <w:spacing w:before="360" w:after="240" w:line="240" w:lineRule="auto"/>
        <w:ind w:left="567" w:hanging="567"/>
        <w:jc w:val="both"/>
        <w:rPr>
          <w:sz w:val="26"/>
          <w:szCs w:val="26"/>
        </w:rPr>
      </w:pPr>
      <w:bookmarkStart w:id="50" w:name="_Toc26784636"/>
      <w:bookmarkStart w:id="51" w:name="_Toc29476294"/>
      <w:bookmarkStart w:id="52" w:name="_Toc55391584"/>
      <w:r>
        <w:rPr>
          <w:sz w:val="26"/>
          <w:szCs w:val="26"/>
        </w:rPr>
        <w:t>3.4. Qualification et expé</w:t>
      </w:r>
      <w:r w:rsidRPr="00BB3A6E">
        <w:rPr>
          <w:sz w:val="26"/>
          <w:szCs w:val="26"/>
        </w:rPr>
        <w:t xml:space="preserve">rience des </w:t>
      </w:r>
      <w:bookmarkEnd w:id="50"/>
      <w:bookmarkEnd w:id="51"/>
      <w:r>
        <w:rPr>
          <w:sz w:val="26"/>
          <w:szCs w:val="26"/>
        </w:rPr>
        <w:t>ONG</w:t>
      </w:r>
      <w:bookmarkEnd w:id="52"/>
    </w:p>
    <w:p w14:paraId="6796611D" w14:textId="4CDD9E36" w:rsidR="00B82ACF" w:rsidRDefault="00B82ACF" w:rsidP="005364EE">
      <w:pPr>
        <w:jc w:val="both"/>
      </w:pPr>
      <w:r>
        <w:t xml:space="preserve">Toute </w:t>
      </w:r>
      <w:r w:rsidRPr="00F87C1C">
        <w:t>ONG</w:t>
      </w:r>
      <w:r>
        <w:t>, quelle que soit sa nationalité,</w:t>
      </w:r>
      <w:r w:rsidRPr="00F87C1C">
        <w:t xml:space="preserve"> </w:t>
      </w:r>
      <w:r>
        <w:t xml:space="preserve">est éligible à la FISONG. Une ONG souhaitant soumettre un projet pourra </w:t>
      </w:r>
      <w:r w:rsidRPr="00F87C1C">
        <w:t xml:space="preserve">s’appuyer sur des partenaires des pays d’intervention. </w:t>
      </w:r>
      <w:r>
        <w:t>Les partenariats (groupements ou consortium) sont encouragés voire nécessaires dans le cadre de la présente FISONG, notamment entre ONG et avec des institutions financières, d’autres acteurs privés fournisseurs de services financiers et non financiers ou acteurs du domaine de la recherche. Le partenariat avec cette dernière catégorie d’acteur pourra être utile à la</w:t>
      </w:r>
      <w:r w:rsidRPr="00F87C1C">
        <w:t xml:space="preserve"> capitalisation </w:t>
      </w:r>
      <w:r>
        <w:t xml:space="preserve">sous l’angle de l’innovation </w:t>
      </w:r>
      <w:r w:rsidRPr="00F87C1C">
        <w:t>et les possibilités de passage ultérieur à une plus grande échelle.</w:t>
      </w:r>
    </w:p>
    <w:p w14:paraId="0F188482" w14:textId="6F66CE3A" w:rsidR="00B82ACF" w:rsidRDefault="00026334" w:rsidP="005364EE">
      <w:pPr>
        <w:jc w:val="both"/>
      </w:pPr>
      <w:r>
        <w:lastRenderedPageBreak/>
        <w:t xml:space="preserve">Il est demandé aux ONG de justifier d’une présence de trois années minimum d’intervention dans le pays du projet. </w:t>
      </w:r>
      <w:r w:rsidR="00832D23">
        <w:t>Dans le cas o</w:t>
      </w:r>
      <w:r>
        <w:t>ù</w:t>
      </w:r>
      <w:r w:rsidR="00832D23">
        <w:t xml:space="preserve"> l’ONG porteuse du projet ne peut justifier trois années minimum d’intervention dans le pays du projet</w:t>
      </w:r>
      <w:r>
        <w:t>, notamment dans les cas où l’arrivée de migrant</w:t>
      </w:r>
      <w:r w:rsidR="00C534C0">
        <w:t>-e-</w:t>
      </w:r>
      <w:r>
        <w:t>s est récente</w:t>
      </w:r>
      <w:r w:rsidR="00832D23">
        <w:t xml:space="preserve">, l’approche partenariale retenue devra prouver qu’il existe bien </w:t>
      </w:r>
      <w:r w:rsidR="00462E87">
        <w:t>un ancrage</w:t>
      </w:r>
      <w:r w:rsidR="00832D23">
        <w:t xml:space="preserve"> local à travers ses partenaires. Il s’agit de garantir la </w:t>
      </w:r>
      <w:r w:rsidR="00B82ACF" w:rsidRPr="00F87C1C">
        <w:t>connaissance d</w:t>
      </w:r>
      <w:r w:rsidR="00B82ACF">
        <w:t>u contexte local, notamment sur les plans politique, institutionnel et socio-politique. La compréhension du contexte local doit permettre aux ONG de comprendre et s’insérer dans les jeux d’acteurs</w:t>
      </w:r>
      <w:r w:rsidR="00C534C0">
        <w:t xml:space="preserve"> et d’actrices</w:t>
      </w:r>
      <w:r w:rsidR="00B82ACF">
        <w:t xml:space="preserve">. </w:t>
      </w:r>
    </w:p>
    <w:p w14:paraId="3AA02314" w14:textId="00C36D49" w:rsidR="00B82ACF" w:rsidRDefault="00B82ACF" w:rsidP="005364EE">
      <w:pPr>
        <w:jc w:val="both"/>
      </w:pPr>
      <w:r>
        <w:t>Les ONG doivent</w:t>
      </w:r>
      <w:r w:rsidR="008420A3">
        <w:t xml:space="preserve"> avoir une expérience</w:t>
      </w:r>
      <w:r w:rsidR="00715EA9">
        <w:t xml:space="preserve"> avérée</w:t>
      </w:r>
      <w:r w:rsidR="008420A3">
        <w:t xml:space="preserve"> d’intervention en zone de crise et conflits </w:t>
      </w:r>
      <w:r w:rsidR="003602ED">
        <w:t xml:space="preserve">de manière à s’adapter à des situations volatiles, </w:t>
      </w:r>
      <w:r w:rsidR="008420A3">
        <w:t>ainsi que dans le déploiement d’activités auprès des populations réfugiées, déplacées ou en migration.</w:t>
      </w:r>
    </w:p>
    <w:p w14:paraId="6F2C9CAA" w14:textId="103EF99E" w:rsidR="008420A3" w:rsidRDefault="00B82ACF" w:rsidP="005364EE">
      <w:pPr>
        <w:jc w:val="both"/>
      </w:pPr>
      <w:r>
        <w:t>Les ONG</w:t>
      </w:r>
      <w:r w:rsidR="008420A3">
        <w:t xml:space="preserve"> </w:t>
      </w:r>
      <w:r>
        <w:t xml:space="preserve">doivent démontrer une expérience dans la conception et mise en œuvre de démarche spécifique visant à </w:t>
      </w:r>
      <w:r w:rsidRPr="0021553B">
        <w:t>réduire les inégalités de genre</w:t>
      </w:r>
      <w:r>
        <w:t>.</w:t>
      </w:r>
    </w:p>
    <w:p w14:paraId="78050986" w14:textId="19EF5E5E" w:rsidR="008420A3" w:rsidRDefault="008420A3" w:rsidP="005364EE">
      <w:pPr>
        <w:jc w:val="both"/>
      </w:pPr>
      <w:r>
        <w:t>Les ONG et leur(s) partenaire(s) le cas échéant doivent démontrer une expérience solide en matière d’inclusion financière et de fourniture de services financiers et non financiers inclusifs et responsables.</w:t>
      </w:r>
    </w:p>
    <w:p w14:paraId="26DAC1A8" w14:textId="77777777" w:rsidR="00B82ACF" w:rsidRPr="00F87C1C" w:rsidRDefault="00B82ACF" w:rsidP="005364EE">
      <w:pPr>
        <w:jc w:val="both"/>
      </w:pPr>
      <w:r w:rsidRPr="00F87C1C">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1CAB4480" w14:textId="43FCE9D4" w:rsidR="00B82ACF" w:rsidRPr="0094115B" w:rsidRDefault="00B82ACF" w:rsidP="005364EE">
      <w:pPr>
        <w:jc w:val="both"/>
      </w:pPr>
      <w:r>
        <w:t xml:space="preserve">Les ONG </w:t>
      </w:r>
      <w:r w:rsidR="008420A3">
        <w:t xml:space="preserve">et leurs partenaires </w:t>
      </w:r>
      <w:r>
        <w:t xml:space="preserve">mobiliseront des équipes </w:t>
      </w:r>
      <w:r w:rsidR="008420A3">
        <w:t>adaptées aux méthodologies qu’</w:t>
      </w:r>
      <w:r w:rsidR="00C534C0">
        <w:t>elles</w:t>
      </w:r>
      <w:r>
        <w:t xml:space="preserve"> proposent. Ces équipes seront placées sous la responsabilité de responsables de mission installés localement.</w:t>
      </w:r>
    </w:p>
    <w:p w14:paraId="716F942D" w14:textId="07AD2EA0" w:rsidR="00B82ACF" w:rsidRPr="00BB3A6E" w:rsidRDefault="00BB3A6E" w:rsidP="00B82ACF">
      <w:pPr>
        <w:pStyle w:val="Titre1"/>
        <w:keepLines w:val="0"/>
        <w:spacing w:before="360" w:after="240" w:line="240" w:lineRule="auto"/>
        <w:ind w:left="567" w:hanging="567"/>
        <w:jc w:val="both"/>
        <w:rPr>
          <w:sz w:val="26"/>
          <w:szCs w:val="26"/>
        </w:rPr>
      </w:pPr>
      <w:bookmarkStart w:id="53" w:name="_Toc26784637"/>
      <w:bookmarkStart w:id="54" w:name="_Toc29476295"/>
      <w:bookmarkStart w:id="55" w:name="_Toc55391585"/>
      <w:r w:rsidRPr="00BB3A6E">
        <w:rPr>
          <w:sz w:val="26"/>
          <w:szCs w:val="26"/>
        </w:rPr>
        <w:t xml:space="preserve">3.5. </w:t>
      </w:r>
      <w:r>
        <w:rPr>
          <w:sz w:val="26"/>
          <w:szCs w:val="26"/>
        </w:rPr>
        <w:t>Cadrage budgé</w:t>
      </w:r>
      <w:r w:rsidRPr="00BB3A6E">
        <w:rPr>
          <w:sz w:val="26"/>
          <w:szCs w:val="26"/>
        </w:rPr>
        <w:t>taire</w:t>
      </w:r>
      <w:bookmarkEnd w:id="53"/>
      <w:bookmarkEnd w:id="54"/>
      <w:bookmarkEnd w:id="55"/>
    </w:p>
    <w:p w14:paraId="60946C98" w14:textId="77777777" w:rsidR="00B82ACF" w:rsidRDefault="00B82ACF" w:rsidP="00B82ACF">
      <w:pPr>
        <w:tabs>
          <w:tab w:val="num" w:pos="180"/>
        </w:tabs>
        <w:rPr>
          <w:color w:val="000000"/>
        </w:rPr>
      </w:pPr>
      <w:r w:rsidRPr="0061534D">
        <w:rPr>
          <w:color w:val="000000"/>
        </w:rPr>
        <w:t xml:space="preserve">Cette FISONG </w:t>
      </w:r>
      <w:r>
        <w:rPr>
          <w:color w:val="000000"/>
        </w:rPr>
        <w:t xml:space="preserve">est </w:t>
      </w:r>
      <w:r w:rsidRPr="0061534D">
        <w:rPr>
          <w:color w:val="000000"/>
        </w:rPr>
        <w:t>doté</w:t>
      </w:r>
      <w:r>
        <w:rPr>
          <w:color w:val="000000"/>
        </w:rPr>
        <w:t>e</w:t>
      </w:r>
      <w:r w:rsidRPr="0061534D">
        <w:rPr>
          <w:color w:val="000000"/>
        </w:rPr>
        <w:t xml:space="preserve"> d’un </w:t>
      </w:r>
      <w:r w:rsidRPr="0094115B">
        <w:rPr>
          <w:color w:val="000000"/>
        </w:rPr>
        <w:t>montant de 2,5 millions d’euros</w:t>
      </w:r>
      <w:r>
        <w:rPr>
          <w:color w:val="000000"/>
        </w:rPr>
        <w:t>, répartis – à titre indicatif à ce stade – comme suit :</w:t>
      </w:r>
    </w:p>
    <w:p w14:paraId="3916F2F0" w14:textId="777E1A7B" w:rsidR="00B82ACF" w:rsidRDefault="00B82ACF" w:rsidP="00B82ACF">
      <w:pPr>
        <w:pStyle w:val="Paragraphedeliste"/>
        <w:numPr>
          <w:ilvl w:val="0"/>
          <w:numId w:val="36"/>
        </w:numPr>
        <w:tabs>
          <w:tab w:val="num" w:pos="180"/>
        </w:tabs>
        <w:spacing w:after="0" w:line="240" w:lineRule="auto"/>
        <w:contextualSpacing w:val="0"/>
        <w:jc w:val="both"/>
        <w:rPr>
          <w:color w:val="000000"/>
        </w:rPr>
      </w:pPr>
      <w:r>
        <w:rPr>
          <w:color w:val="000000"/>
        </w:rPr>
        <w:t>2,</w:t>
      </w:r>
      <w:r w:rsidR="00EC76B0">
        <w:rPr>
          <w:color w:val="000000"/>
        </w:rPr>
        <w:t>3</w:t>
      </w:r>
      <w:r>
        <w:rPr>
          <w:color w:val="000000"/>
        </w:rPr>
        <w:t xml:space="preserve"> millions d’euros pour financer des projets de terrain ;</w:t>
      </w:r>
    </w:p>
    <w:p w14:paraId="4072B45C" w14:textId="3BCAD7AC" w:rsidR="00B82ACF" w:rsidRDefault="00B82ACF" w:rsidP="00B82ACF">
      <w:pPr>
        <w:pStyle w:val="Paragraphedeliste"/>
        <w:numPr>
          <w:ilvl w:val="0"/>
          <w:numId w:val="36"/>
        </w:numPr>
        <w:tabs>
          <w:tab w:val="num" w:pos="180"/>
        </w:tabs>
        <w:spacing w:after="0" w:line="240" w:lineRule="auto"/>
        <w:contextualSpacing w:val="0"/>
        <w:jc w:val="both"/>
        <w:rPr>
          <w:color w:val="000000"/>
        </w:rPr>
      </w:pPr>
      <w:r>
        <w:rPr>
          <w:color w:val="000000"/>
        </w:rPr>
        <w:t>0,</w:t>
      </w:r>
      <w:r w:rsidR="00EC76B0">
        <w:rPr>
          <w:color w:val="000000"/>
        </w:rPr>
        <w:t>2</w:t>
      </w:r>
      <w:r>
        <w:rPr>
          <w:color w:val="000000"/>
        </w:rPr>
        <w:t xml:space="preserve"> million d’euros pour financer le dispositif transversal de capitalisation qui sera assuré par un prestataire recruté sur appel d’offres ;</w:t>
      </w:r>
    </w:p>
    <w:p w14:paraId="0B7DF8BA" w14:textId="77777777" w:rsidR="00B82ACF" w:rsidRDefault="00B82ACF" w:rsidP="00B82ACF">
      <w:pPr>
        <w:tabs>
          <w:tab w:val="num" w:pos="180"/>
        </w:tabs>
        <w:rPr>
          <w:color w:val="000000"/>
        </w:rPr>
      </w:pPr>
    </w:p>
    <w:p w14:paraId="7ABBC019" w14:textId="71A3D801" w:rsidR="00B82ACF" w:rsidRDefault="00B82ACF" w:rsidP="00135B96">
      <w:pPr>
        <w:tabs>
          <w:tab w:val="num" w:pos="180"/>
        </w:tabs>
        <w:jc w:val="both"/>
        <w:rPr>
          <w:color w:val="000000"/>
        </w:rPr>
      </w:pPr>
      <w:r>
        <w:rPr>
          <w:color w:val="000000"/>
        </w:rPr>
        <w:t xml:space="preserve">Cette FISONG vise à financer </w:t>
      </w:r>
      <w:r w:rsidR="008420A3">
        <w:rPr>
          <w:color w:val="000000"/>
        </w:rPr>
        <w:t>2 à 3</w:t>
      </w:r>
      <w:r>
        <w:rPr>
          <w:color w:val="000000"/>
        </w:rPr>
        <w:t xml:space="preserve"> projets en apportant une contribution pour chaque projet de l’ordre de </w:t>
      </w:r>
      <w:r w:rsidR="008420A3">
        <w:rPr>
          <w:color w:val="000000"/>
        </w:rPr>
        <w:t>700k€ à 1M€</w:t>
      </w:r>
      <w:r>
        <w:rPr>
          <w:color w:val="000000"/>
        </w:rPr>
        <w:t>.</w:t>
      </w:r>
    </w:p>
    <w:p w14:paraId="30C45631" w14:textId="1B64541C" w:rsidR="00B82ACF" w:rsidRPr="00491397" w:rsidRDefault="00B82ACF" w:rsidP="00135B96">
      <w:pPr>
        <w:tabs>
          <w:tab w:val="num" w:pos="180"/>
        </w:tabs>
        <w:jc w:val="both"/>
      </w:pPr>
      <w:r>
        <w:rPr>
          <w:color w:val="000000"/>
        </w:rPr>
        <w:t>Pour un projet donné, la contribution financière de la FISONG </w:t>
      </w:r>
      <w:r w:rsidRPr="00026334">
        <w:rPr>
          <w:color w:val="000000"/>
        </w:rPr>
        <w:t xml:space="preserve">ne pourra excéder </w:t>
      </w:r>
      <w:r w:rsidRPr="005364EE">
        <w:rPr>
          <w:b/>
        </w:rPr>
        <w:t>90% du coût total du projet</w:t>
      </w:r>
      <w:r>
        <w:t> ;</w:t>
      </w:r>
    </w:p>
    <w:p w14:paraId="772B73FC" w14:textId="5B05837F" w:rsidR="00B82ACF" w:rsidRDefault="00B82ACF" w:rsidP="005364EE">
      <w:pPr>
        <w:jc w:val="both"/>
        <w:rPr>
          <w:color w:val="000000"/>
        </w:rPr>
      </w:pPr>
      <w:r w:rsidRPr="00491397">
        <w:rPr>
          <w:color w:val="000000"/>
        </w:rPr>
        <w:t>Le plan de financement soumis par l’ONG devra intégrer un montant forfaitaire minimum de 2% du montant total du projet pour la réalisation d’audits externes. Ce montant sera mobilisé directement par l’ONG qui contractualisera avec un cabinet d’audit externe pour assurer la vérification des dépenses effectuées.</w:t>
      </w:r>
    </w:p>
    <w:p w14:paraId="590D70BF" w14:textId="764E28F4" w:rsidR="00B82ACF" w:rsidRDefault="00026334" w:rsidP="00875F65">
      <w:pPr>
        <w:jc w:val="both"/>
        <w:rPr>
          <w:color w:val="000000"/>
        </w:rPr>
      </w:pPr>
      <w:r w:rsidRPr="00026334">
        <w:rPr>
          <w:color w:val="000000"/>
        </w:rPr>
        <w:t>Il est également demandé aux ONG de sécuriser un budget permettant de couvrir les frais de déplacements liés aux activités transversales (atelier genre, ateliers de capitalisation transversale / participation aux réunions du comité scientifique) sur la base d’une réunion par an pour un des opérationnels du projet.</w:t>
      </w:r>
    </w:p>
    <w:p w14:paraId="73AB464C" w14:textId="317E90E2" w:rsidR="00B82ACF" w:rsidRPr="00BB3A6E" w:rsidRDefault="00BB3A6E" w:rsidP="00B82ACF">
      <w:pPr>
        <w:pStyle w:val="Titre1"/>
        <w:keepLines w:val="0"/>
        <w:spacing w:before="360" w:after="240" w:line="240" w:lineRule="auto"/>
        <w:ind w:left="567" w:hanging="567"/>
        <w:jc w:val="both"/>
        <w:rPr>
          <w:sz w:val="26"/>
          <w:szCs w:val="26"/>
        </w:rPr>
      </w:pPr>
      <w:bookmarkStart w:id="56" w:name="_Toc26784638"/>
      <w:bookmarkStart w:id="57" w:name="_Toc29476296"/>
      <w:bookmarkStart w:id="58" w:name="_Toc55391586"/>
      <w:r>
        <w:rPr>
          <w:sz w:val="26"/>
          <w:szCs w:val="26"/>
        </w:rPr>
        <w:lastRenderedPageBreak/>
        <w:t>3.6. Critères d’é</w:t>
      </w:r>
      <w:r w:rsidRPr="00BB3A6E">
        <w:rPr>
          <w:sz w:val="26"/>
          <w:szCs w:val="26"/>
        </w:rPr>
        <w:t>valuation des propositions</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490"/>
        <w:gridCol w:w="6428"/>
      </w:tblGrid>
      <w:tr w:rsidR="00026334" w14:paraId="1B110F46" w14:textId="77777777" w:rsidTr="00875F65">
        <w:tc>
          <w:tcPr>
            <w:tcW w:w="2144" w:type="dxa"/>
            <w:shd w:val="clear" w:color="auto" w:fill="E0E0E0"/>
          </w:tcPr>
          <w:p w14:paraId="0DE80A14" w14:textId="77777777" w:rsidR="00026334" w:rsidRDefault="00026334" w:rsidP="00357B3F">
            <w:pPr>
              <w:jc w:val="both"/>
            </w:pPr>
            <w:r>
              <w:t>Intitulé</w:t>
            </w:r>
          </w:p>
        </w:tc>
        <w:tc>
          <w:tcPr>
            <w:tcW w:w="490" w:type="dxa"/>
            <w:shd w:val="clear" w:color="auto" w:fill="E0E0E0"/>
          </w:tcPr>
          <w:p w14:paraId="19D74FCC" w14:textId="77777777" w:rsidR="00026334" w:rsidRDefault="00026334" w:rsidP="00357B3F">
            <w:pPr>
              <w:jc w:val="both"/>
            </w:pPr>
            <w:r>
              <w:t>Pts</w:t>
            </w:r>
          </w:p>
        </w:tc>
        <w:tc>
          <w:tcPr>
            <w:tcW w:w="6428" w:type="dxa"/>
            <w:shd w:val="clear" w:color="auto" w:fill="E0E0E0"/>
          </w:tcPr>
          <w:p w14:paraId="741D173A" w14:textId="77777777" w:rsidR="00026334" w:rsidRDefault="00026334" w:rsidP="00357B3F">
            <w:pPr>
              <w:jc w:val="both"/>
            </w:pPr>
            <w:r>
              <w:t>Seront évalués</w:t>
            </w:r>
          </w:p>
        </w:tc>
      </w:tr>
      <w:tr w:rsidR="00026334" w:rsidRPr="001A3215" w14:paraId="6D844954" w14:textId="77777777" w:rsidTr="00875F65">
        <w:tc>
          <w:tcPr>
            <w:tcW w:w="9062" w:type="dxa"/>
            <w:gridSpan w:val="3"/>
            <w:shd w:val="clear" w:color="auto" w:fill="auto"/>
          </w:tcPr>
          <w:p w14:paraId="7883A600" w14:textId="77777777" w:rsidR="00026334" w:rsidRPr="001A3215" w:rsidRDefault="00026334" w:rsidP="00357B3F">
            <w:pPr>
              <w:jc w:val="both"/>
              <w:rPr>
                <w:b/>
              </w:rPr>
            </w:pPr>
            <w:r w:rsidRPr="001A3215">
              <w:rPr>
                <w:b/>
              </w:rPr>
              <w:t>Pertinence du projet en termes d’innovation et d’insertion dans le contexte local (20)</w:t>
            </w:r>
          </w:p>
        </w:tc>
      </w:tr>
      <w:tr w:rsidR="00026334" w:rsidRPr="008821DC" w14:paraId="4B576E76" w14:textId="77777777" w:rsidTr="00875F65">
        <w:tc>
          <w:tcPr>
            <w:tcW w:w="2144" w:type="dxa"/>
            <w:shd w:val="clear" w:color="auto" w:fill="auto"/>
          </w:tcPr>
          <w:p w14:paraId="06FE1B1F" w14:textId="77777777" w:rsidR="00026334" w:rsidRPr="008821DC" w:rsidRDefault="00026334" w:rsidP="00357B3F">
            <w:pPr>
              <w:jc w:val="both"/>
            </w:pPr>
            <w:r w:rsidRPr="008821DC">
              <w:t>Caractère innovant</w:t>
            </w:r>
          </w:p>
        </w:tc>
        <w:tc>
          <w:tcPr>
            <w:tcW w:w="490" w:type="dxa"/>
            <w:shd w:val="clear" w:color="auto" w:fill="auto"/>
          </w:tcPr>
          <w:p w14:paraId="5D6334A0" w14:textId="77777777" w:rsidR="00026334" w:rsidRPr="008821DC" w:rsidRDefault="00026334" w:rsidP="00357B3F">
            <w:pPr>
              <w:jc w:val="both"/>
            </w:pPr>
            <w:r w:rsidRPr="008821DC">
              <w:t>10</w:t>
            </w:r>
          </w:p>
        </w:tc>
        <w:tc>
          <w:tcPr>
            <w:tcW w:w="6428" w:type="dxa"/>
            <w:shd w:val="clear" w:color="auto" w:fill="auto"/>
          </w:tcPr>
          <w:p w14:paraId="41E6B917" w14:textId="5B69DB2C" w:rsidR="00026334" w:rsidRPr="008821DC" w:rsidRDefault="00026334" w:rsidP="00357B3F">
            <w:pPr>
              <w:jc w:val="both"/>
            </w:pPr>
            <w:r w:rsidRPr="008821DC">
              <w:t xml:space="preserve">L’existence d’un </w:t>
            </w:r>
            <w:r>
              <w:t>diagnostic</w:t>
            </w:r>
            <w:r w:rsidRPr="008821DC">
              <w:t xml:space="preserve"> et l’argumentaire développé sur cette base pour justifier le caractère innovant</w:t>
            </w:r>
            <w:r>
              <w:t xml:space="preserve"> du projet tant au niveau thématique / technique qu’au niveau du ou des pays retenu(s)</w:t>
            </w:r>
            <w:r w:rsidRPr="008821DC">
              <w:t>.</w:t>
            </w:r>
          </w:p>
        </w:tc>
      </w:tr>
      <w:tr w:rsidR="00026334" w:rsidRPr="008821DC" w14:paraId="1B250E52" w14:textId="77777777" w:rsidTr="00875F65">
        <w:tc>
          <w:tcPr>
            <w:tcW w:w="2144" w:type="dxa"/>
            <w:shd w:val="clear" w:color="auto" w:fill="auto"/>
          </w:tcPr>
          <w:p w14:paraId="74358D2A" w14:textId="77777777" w:rsidR="00026334" w:rsidRPr="008821DC" w:rsidRDefault="00026334" w:rsidP="00357B3F">
            <w:pPr>
              <w:jc w:val="both"/>
            </w:pPr>
            <w:r>
              <w:t>Pertinence du projet proposé par rapport à la thématique de la FISONG</w:t>
            </w:r>
          </w:p>
        </w:tc>
        <w:tc>
          <w:tcPr>
            <w:tcW w:w="490" w:type="dxa"/>
            <w:shd w:val="clear" w:color="auto" w:fill="auto"/>
          </w:tcPr>
          <w:p w14:paraId="45757E77" w14:textId="77777777" w:rsidR="00026334" w:rsidRPr="008821DC" w:rsidRDefault="00026334" w:rsidP="00357B3F">
            <w:pPr>
              <w:jc w:val="both"/>
            </w:pPr>
            <w:r>
              <w:t>1</w:t>
            </w:r>
            <w:r w:rsidRPr="008821DC">
              <w:t>0</w:t>
            </w:r>
          </w:p>
        </w:tc>
        <w:tc>
          <w:tcPr>
            <w:tcW w:w="6428" w:type="dxa"/>
            <w:shd w:val="clear" w:color="auto" w:fill="auto"/>
          </w:tcPr>
          <w:p w14:paraId="47817EF6" w14:textId="77777777" w:rsidR="00026334" w:rsidRPr="008821DC" w:rsidRDefault="00026334" w:rsidP="00357B3F">
            <w:pPr>
              <w:spacing w:after="0"/>
              <w:jc w:val="both"/>
            </w:pPr>
            <w:r>
              <w:t>-</w:t>
            </w:r>
            <w:r w:rsidRPr="008821DC">
              <w:t xml:space="preserve"> réponse à des besoins présents et futurs</w:t>
            </w:r>
          </w:p>
          <w:p w14:paraId="4DF07424" w14:textId="77777777" w:rsidR="00026334" w:rsidRPr="008821DC" w:rsidRDefault="00026334" w:rsidP="00357B3F">
            <w:pPr>
              <w:spacing w:after="0"/>
              <w:jc w:val="both"/>
            </w:pPr>
            <w:r>
              <w:t>- e</w:t>
            </w:r>
            <w:r w:rsidRPr="008821DC">
              <w:t>fficacité et efficience dans la réponse à ces besoins</w:t>
            </w:r>
          </w:p>
          <w:p w14:paraId="1CA45B94" w14:textId="77777777" w:rsidR="00026334" w:rsidRPr="008821DC" w:rsidRDefault="00026334" w:rsidP="00357B3F">
            <w:pPr>
              <w:spacing w:after="0"/>
              <w:jc w:val="both"/>
            </w:pPr>
            <w:r>
              <w:t>- a</w:t>
            </w:r>
            <w:r w:rsidRPr="008821DC">
              <w:t>cceptabilité et cohérence avec le contexte</w:t>
            </w:r>
          </w:p>
          <w:p w14:paraId="5D4E2D19" w14:textId="77777777" w:rsidR="00026334" w:rsidRPr="008821DC" w:rsidRDefault="00026334" w:rsidP="00357B3F">
            <w:pPr>
              <w:spacing w:after="0"/>
              <w:jc w:val="both"/>
            </w:pPr>
            <w:r>
              <w:t>- activités majoritairement menées par des équipes pluridisciplinaires</w:t>
            </w:r>
          </w:p>
        </w:tc>
      </w:tr>
      <w:tr w:rsidR="00026334" w:rsidRPr="001A3215" w14:paraId="49C47FBB" w14:textId="77777777" w:rsidTr="00875F65">
        <w:tc>
          <w:tcPr>
            <w:tcW w:w="9062" w:type="dxa"/>
            <w:gridSpan w:val="3"/>
            <w:shd w:val="clear" w:color="auto" w:fill="auto"/>
          </w:tcPr>
          <w:p w14:paraId="77A32B63" w14:textId="77777777" w:rsidR="00026334" w:rsidRPr="001A3215" w:rsidRDefault="00026334" w:rsidP="00357B3F">
            <w:pPr>
              <w:jc w:val="both"/>
              <w:rPr>
                <w:b/>
              </w:rPr>
            </w:pPr>
            <w:r w:rsidRPr="001A3215">
              <w:rPr>
                <w:b/>
              </w:rPr>
              <w:t>Conduite du processus d’innovation (30)</w:t>
            </w:r>
          </w:p>
        </w:tc>
      </w:tr>
      <w:tr w:rsidR="00026334" w:rsidRPr="008821DC" w14:paraId="4E52E2D5" w14:textId="77777777" w:rsidTr="00875F65">
        <w:tc>
          <w:tcPr>
            <w:tcW w:w="2144" w:type="dxa"/>
            <w:shd w:val="clear" w:color="auto" w:fill="auto"/>
          </w:tcPr>
          <w:p w14:paraId="12651210" w14:textId="77777777" w:rsidR="00026334" w:rsidRPr="008821DC" w:rsidRDefault="00026334" w:rsidP="00357B3F">
            <w:pPr>
              <w:jc w:val="both"/>
            </w:pPr>
            <w:r w:rsidRPr="008821DC">
              <w:t>Processus d’innovation</w:t>
            </w:r>
          </w:p>
        </w:tc>
        <w:tc>
          <w:tcPr>
            <w:tcW w:w="490" w:type="dxa"/>
            <w:shd w:val="clear" w:color="auto" w:fill="auto"/>
          </w:tcPr>
          <w:p w14:paraId="4A729D38" w14:textId="77777777" w:rsidR="00026334" w:rsidRPr="008821DC" w:rsidRDefault="00026334" w:rsidP="00357B3F">
            <w:pPr>
              <w:jc w:val="both"/>
            </w:pPr>
            <w:r w:rsidRPr="008821DC">
              <w:t>10</w:t>
            </w:r>
          </w:p>
        </w:tc>
        <w:tc>
          <w:tcPr>
            <w:tcW w:w="6428" w:type="dxa"/>
            <w:shd w:val="clear" w:color="auto" w:fill="auto"/>
          </w:tcPr>
          <w:p w14:paraId="2A064A08" w14:textId="77777777" w:rsidR="00026334" w:rsidRPr="008821DC" w:rsidRDefault="00026334" w:rsidP="00357B3F">
            <w:pPr>
              <w:jc w:val="both"/>
            </w:pPr>
            <w:r w:rsidRPr="008821DC">
              <w:t>La présentation de l’étape d’innovation soumise pour financement et son articulation avec ce qui a été fait en amont et ce qui est envisagé en aval. La clarté et la faisabilité du processus</w:t>
            </w:r>
          </w:p>
        </w:tc>
      </w:tr>
      <w:tr w:rsidR="00026334" w:rsidRPr="008821DC" w14:paraId="71924E09" w14:textId="77777777" w:rsidTr="00875F65">
        <w:tc>
          <w:tcPr>
            <w:tcW w:w="2144" w:type="dxa"/>
            <w:shd w:val="clear" w:color="auto" w:fill="auto"/>
          </w:tcPr>
          <w:p w14:paraId="5CD4DB9F" w14:textId="77777777" w:rsidR="00026334" w:rsidRPr="008821DC" w:rsidRDefault="00026334" w:rsidP="00357B3F">
            <w:pPr>
              <w:jc w:val="both"/>
            </w:pPr>
            <w:r w:rsidRPr="008821DC">
              <w:t>Partenariats pour l’innovation</w:t>
            </w:r>
          </w:p>
        </w:tc>
        <w:tc>
          <w:tcPr>
            <w:tcW w:w="490" w:type="dxa"/>
            <w:shd w:val="clear" w:color="auto" w:fill="auto"/>
          </w:tcPr>
          <w:p w14:paraId="6CFA3F39" w14:textId="77777777" w:rsidR="00026334" w:rsidRPr="008821DC" w:rsidRDefault="00026334" w:rsidP="00357B3F">
            <w:pPr>
              <w:jc w:val="both"/>
            </w:pPr>
            <w:r w:rsidRPr="008821DC">
              <w:t>10</w:t>
            </w:r>
          </w:p>
        </w:tc>
        <w:tc>
          <w:tcPr>
            <w:tcW w:w="6428" w:type="dxa"/>
            <w:shd w:val="clear" w:color="auto" w:fill="auto"/>
          </w:tcPr>
          <w:p w14:paraId="57584D17" w14:textId="77777777" w:rsidR="00026334" w:rsidRPr="008821DC" w:rsidRDefault="00026334" w:rsidP="00357B3F">
            <w:pPr>
              <w:jc w:val="both"/>
            </w:pPr>
            <w:r>
              <w:t>La diversité d</w:t>
            </w:r>
            <w:r w:rsidRPr="008821DC">
              <w:t>es partenariats proposés</w:t>
            </w:r>
            <w:r>
              <w:t xml:space="preserve">, </w:t>
            </w:r>
            <w:r w:rsidRPr="008821DC">
              <w:t>la démarche visant à les consolider et à favoriser l’appropriation de l’innovation, en vue de sa diffusion</w:t>
            </w:r>
            <w:r>
              <w:t>, les dispositifs de coopération entre les partenaires</w:t>
            </w:r>
          </w:p>
        </w:tc>
      </w:tr>
      <w:tr w:rsidR="00026334" w:rsidRPr="008821DC" w14:paraId="2FF93036" w14:textId="77777777" w:rsidTr="00875F65">
        <w:tc>
          <w:tcPr>
            <w:tcW w:w="2144" w:type="dxa"/>
            <w:shd w:val="clear" w:color="auto" w:fill="auto"/>
          </w:tcPr>
          <w:p w14:paraId="14C89194" w14:textId="77777777" w:rsidR="00026334" w:rsidRPr="008821DC" w:rsidRDefault="00026334" w:rsidP="00357B3F">
            <w:pPr>
              <w:jc w:val="both"/>
            </w:pPr>
            <w:r w:rsidRPr="008821DC">
              <w:t>Evaluation et capitalisation</w:t>
            </w:r>
          </w:p>
        </w:tc>
        <w:tc>
          <w:tcPr>
            <w:tcW w:w="490" w:type="dxa"/>
            <w:shd w:val="clear" w:color="auto" w:fill="auto"/>
          </w:tcPr>
          <w:p w14:paraId="6D859A3A" w14:textId="77777777" w:rsidR="00026334" w:rsidRPr="008821DC" w:rsidRDefault="00026334" w:rsidP="00357B3F">
            <w:pPr>
              <w:jc w:val="both"/>
            </w:pPr>
            <w:r w:rsidRPr="008821DC">
              <w:t>10</w:t>
            </w:r>
          </w:p>
        </w:tc>
        <w:tc>
          <w:tcPr>
            <w:tcW w:w="6428" w:type="dxa"/>
            <w:shd w:val="clear" w:color="auto" w:fill="auto"/>
          </w:tcPr>
          <w:p w14:paraId="397A9D81" w14:textId="77777777" w:rsidR="00026334" w:rsidRPr="008821DC" w:rsidRDefault="00026334" w:rsidP="00357B3F">
            <w:pPr>
              <w:jc w:val="both"/>
            </w:pPr>
            <w:r w:rsidRPr="008821DC">
              <w:t>Qualité des dispositions avancées pour l’évaluation des innovations, la capitalisation et la diffusion des acquis</w:t>
            </w:r>
          </w:p>
        </w:tc>
      </w:tr>
      <w:tr w:rsidR="00026334" w:rsidRPr="001A3215" w14:paraId="7E6BD022" w14:textId="77777777" w:rsidTr="00875F65">
        <w:tc>
          <w:tcPr>
            <w:tcW w:w="9062" w:type="dxa"/>
            <w:gridSpan w:val="3"/>
            <w:shd w:val="clear" w:color="auto" w:fill="auto"/>
          </w:tcPr>
          <w:p w14:paraId="05BB5300" w14:textId="77777777" w:rsidR="00026334" w:rsidRPr="001A3215" w:rsidRDefault="00026334" w:rsidP="00357B3F">
            <w:pPr>
              <w:jc w:val="both"/>
              <w:rPr>
                <w:b/>
                <w:highlight w:val="yellow"/>
              </w:rPr>
            </w:pPr>
            <w:r w:rsidRPr="001A3215">
              <w:rPr>
                <w:b/>
              </w:rPr>
              <w:t>Intégration locale du projet (20)</w:t>
            </w:r>
          </w:p>
        </w:tc>
      </w:tr>
      <w:tr w:rsidR="00026334" w14:paraId="24D4A961" w14:textId="77777777" w:rsidTr="00875F65">
        <w:tc>
          <w:tcPr>
            <w:tcW w:w="2144" w:type="dxa"/>
            <w:shd w:val="clear" w:color="auto" w:fill="auto"/>
          </w:tcPr>
          <w:p w14:paraId="091C9DD8" w14:textId="77777777" w:rsidR="00026334" w:rsidRDefault="00026334" w:rsidP="00357B3F">
            <w:pPr>
              <w:jc w:val="both"/>
            </w:pPr>
            <w:r>
              <w:t>Valorisation des ressources locales</w:t>
            </w:r>
          </w:p>
        </w:tc>
        <w:tc>
          <w:tcPr>
            <w:tcW w:w="490" w:type="dxa"/>
            <w:shd w:val="clear" w:color="auto" w:fill="auto"/>
          </w:tcPr>
          <w:p w14:paraId="29E013C1" w14:textId="77777777" w:rsidR="00026334" w:rsidRDefault="00026334" w:rsidP="00357B3F">
            <w:pPr>
              <w:jc w:val="both"/>
            </w:pPr>
            <w:r>
              <w:t>10</w:t>
            </w:r>
          </w:p>
        </w:tc>
        <w:tc>
          <w:tcPr>
            <w:tcW w:w="6428" w:type="dxa"/>
            <w:shd w:val="clear" w:color="auto" w:fill="auto"/>
          </w:tcPr>
          <w:p w14:paraId="14629401" w14:textId="77777777" w:rsidR="00026334" w:rsidRDefault="00026334" w:rsidP="00357B3F">
            <w:pPr>
              <w:jc w:val="both"/>
            </w:pPr>
            <w:r>
              <w:t xml:space="preserve">Valorisation des savoirs, savoir-faire et compétences locales et nationales pour la mise au point de l’innovation </w:t>
            </w:r>
          </w:p>
        </w:tc>
      </w:tr>
      <w:tr w:rsidR="00026334" w14:paraId="088C3B0E" w14:textId="77777777" w:rsidTr="00875F65">
        <w:tc>
          <w:tcPr>
            <w:tcW w:w="2144" w:type="dxa"/>
            <w:shd w:val="clear" w:color="auto" w:fill="auto"/>
          </w:tcPr>
          <w:p w14:paraId="0D72BEDD" w14:textId="77777777" w:rsidR="00026334" w:rsidRDefault="00026334" w:rsidP="00357B3F">
            <w:pPr>
              <w:jc w:val="both"/>
            </w:pPr>
            <w:r>
              <w:t>Cohérence  / politiques publiques</w:t>
            </w:r>
          </w:p>
        </w:tc>
        <w:tc>
          <w:tcPr>
            <w:tcW w:w="490" w:type="dxa"/>
            <w:shd w:val="clear" w:color="auto" w:fill="auto"/>
          </w:tcPr>
          <w:p w14:paraId="0610E8D9" w14:textId="77777777" w:rsidR="00026334" w:rsidRDefault="00026334" w:rsidP="00357B3F">
            <w:pPr>
              <w:jc w:val="both"/>
            </w:pPr>
            <w:r>
              <w:t>10</w:t>
            </w:r>
          </w:p>
        </w:tc>
        <w:tc>
          <w:tcPr>
            <w:tcW w:w="6428" w:type="dxa"/>
            <w:shd w:val="clear" w:color="auto" w:fill="auto"/>
          </w:tcPr>
          <w:p w14:paraId="51C18806" w14:textId="77777777" w:rsidR="00026334" w:rsidRDefault="00026334" w:rsidP="00357B3F">
            <w:pPr>
              <w:jc w:val="both"/>
            </w:pPr>
            <w:r>
              <w:t xml:space="preserve">La cohérence du processus d’innovation vis-à-vis du contexte institutionnel, des politiques publiques et sa capacité à les inspirer </w:t>
            </w:r>
          </w:p>
        </w:tc>
      </w:tr>
      <w:tr w:rsidR="00026334" w:rsidRPr="001A3215" w14:paraId="6403BA07" w14:textId="77777777" w:rsidTr="00875F65">
        <w:tc>
          <w:tcPr>
            <w:tcW w:w="9062" w:type="dxa"/>
            <w:gridSpan w:val="3"/>
            <w:shd w:val="clear" w:color="auto" w:fill="auto"/>
          </w:tcPr>
          <w:p w14:paraId="06C238A5" w14:textId="77777777" w:rsidR="00026334" w:rsidRPr="001A3215" w:rsidRDefault="00026334" w:rsidP="00357B3F">
            <w:pPr>
              <w:jc w:val="both"/>
              <w:rPr>
                <w:b/>
              </w:rPr>
            </w:pPr>
            <w:r w:rsidRPr="001A3215">
              <w:rPr>
                <w:b/>
              </w:rPr>
              <w:t>Moyens mis en œuvre (40)</w:t>
            </w:r>
          </w:p>
        </w:tc>
      </w:tr>
      <w:tr w:rsidR="00026334" w14:paraId="473987D6" w14:textId="77777777" w:rsidTr="00875F65">
        <w:tc>
          <w:tcPr>
            <w:tcW w:w="2144" w:type="dxa"/>
            <w:shd w:val="clear" w:color="auto" w:fill="auto"/>
          </w:tcPr>
          <w:p w14:paraId="7E047F32" w14:textId="77777777" w:rsidR="00026334" w:rsidRDefault="00026334" w:rsidP="00357B3F">
            <w:pPr>
              <w:jc w:val="both"/>
            </w:pPr>
            <w:r>
              <w:t>Budget</w:t>
            </w:r>
          </w:p>
        </w:tc>
        <w:tc>
          <w:tcPr>
            <w:tcW w:w="490" w:type="dxa"/>
            <w:shd w:val="clear" w:color="auto" w:fill="auto"/>
          </w:tcPr>
          <w:p w14:paraId="0D90AD82" w14:textId="77777777" w:rsidR="00026334" w:rsidRDefault="00026334" w:rsidP="00357B3F">
            <w:pPr>
              <w:jc w:val="both"/>
            </w:pPr>
            <w:r>
              <w:t>10</w:t>
            </w:r>
          </w:p>
        </w:tc>
        <w:tc>
          <w:tcPr>
            <w:tcW w:w="6428" w:type="dxa"/>
            <w:shd w:val="clear" w:color="auto" w:fill="auto"/>
          </w:tcPr>
          <w:p w14:paraId="025D0FF3" w14:textId="77777777" w:rsidR="00026334" w:rsidRDefault="00026334" w:rsidP="00357B3F">
            <w:pPr>
              <w:jc w:val="both"/>
            </w:pPr>
            <w:r>
              <w:t>L’adéquation entre les objectifs et les moyens, les justifications avancées, l’efficience, la pérennité</w:t>
            </w:r>
          </w:p>
        </w:tc>
      </w:tr>
      <w:tr w:rsidR="00026334" w14:paraId="29DE02CA" w14:textId="77777777" w:rsidTr="00875F65">
        <w:tc>
          <w:tcPr>
            <w:tcW w:w="2144" w:type="dxa"/>
            <w:shd w:val="clear" w:color="auto" w:fill="auto"/>
          </w:tcPr>
          <w:p w14:paraId="051CFD2E" w14:textId="77777777" w:rsidR="00026334" w:rsidRDefault="00026334" w:rsidP="00357B3F">
            <w:pPr>
              <w:jc w:val="both"/>
            </w:pPr>
            <w:r>
              <w:t>Capacités de l’ONG / du consortium</w:t>
            </w:r>
          </w:p>
        </w:tc>
        <w:tc>
          <w:tcPr>
            <w:tcW w:w="490" w:type="dxa"/>
            <w:shd w:val="clear" w:color="auto" w:fill="auto"/>
          </w:tcPr>
          <w:p w14:paraId="44298F6C" w14:textId="77777777" w:rsidR="00026334" w:rsidRDefault="00026334" w:rsidP="00357B3F">
            <w:pPr>
              <w:jc w:val="both"/>
            </w:pPr>
            <w:r>
              <w:t>10</w:t>
            </w:r>
          </w:p>
        </w:tc>
        <w:tc>
          <w:tcPr>
            <w:tcW w:w="6428" w:type="dxa"/>
            <w:shd w:val="clear" w:color="auto" w:fill="auto"/>
          </w:tcPr>
          <w:p w14:paraId="0970078B" w14:textId="77777777" w:rsidR="00026334" w:rsidRDefault="00026334" w:rsidP="00357B3F">
            <w:pPr>
              <w:jc w:val="both"/>
            </w:pPr>
            <w:r>
              <w:t>Capacités à conduire un processus d’innovation et un dialogue sectoriel avec l’AFD ou dispositions prévues pour les acquérir</w:t>
            </w:r>
          </w:p>
        </w:tc>
      </w:tr>
      <w:tr w:rsidR="00026334" w14:paraId="442E4348" w14:textId="77777777" w:rsidTr="00875F65">
        <w:tc>
          <w:tcPr>
            <w:tcW w:w="2144" w:type="dxa"/>
            <w:shd w:val="clear" w:color="auto" w:fill="auto"/>
          </w:tcPr>
          <w:p w14:paraId="451DC810" w14:textId="77777777" w:rsidR="00026334" w:rsidRDefault="00026334" w:rsidP="00357B3F">
            <w:pPr>
              <w:jc w:val="both"/>
            </w:pPr>
            <w:r>
              <w:t>Méthodologie</w:t>
            </w:r>
          </w:p>
        </w:tc>
        <w:tc>
          <w:tcPr>
            <w:tcW w:w="490" w:type="dxa"/>
            <w:shd w:val="clear" w:color="auto" w:fill="auto"/>
          </w:tcPr>
          <w:p w14:paraId="2290EEFF" w14:textId="77777777" w:rsidR="00026334" w:rsidRDefault="00026334" w:rsidP="00357B3F">
            <w:pPr>
              <w:jc w:val="both"/>
            </w:pPr>
            <w:r>
              <w:t>10</w:t>
            </w:r>
          </w:p>
        </w:tc>
        <w:tc>
          <w:tcPr>
            <w:tcW w:w="6428" w:type="dxa"/>
            <w:shd w:val="clear" w:color="auto" w:fill="auto"/>
          </w:tcPr>
          <w:p w14:paraId="2D2D76AB" w14:textId="77777777" w:rsidR="00026334" w:rsidRDefault="00026334" w:rsidP="00357B3F">
            <w:pPr>
              <w:jc w:val="both"/>
            </w:pPr>
            <w:r>
              <w:t>La méthodologie générale de mise en œuvre du projet</w:t>
            </w:r>
          </w:p>
        </w:tc>
      </w:tr>
      <w:tr w:rsidR="00026334" w14:paraId="53E5E6B1" w14:textId="77777777" w:rsidTr="00875F65">
        <w:tc>
          <w:tcPr>
            <w:tcW w:w="2144" w:type="dxa"/>
            <w:shd w:val="clear" w:color="auto" w:fill="auto"/>
          </w:tcPr>
          <w:p w14:paraId="3DD7EDBC" w14:textId="77777777" w:rsidR="00026334" w:rsidRDefault="00026334" w:rsidP="00357B3F">
            <w:pPr>
              <w:jc w:val="both"/>
            </w:pPr>
            <w:r>
              <w:t>Genre</w:t>
            </w:r>
          </w:p>
        </w:tc>
        <w:tc>
          <w:tcPr>
            <w:tcW w:w="490" w:type="dxa"/>
            <w:shd w:val="clear" w:color="auto" w:fill="auto"/>
          </w:tcPr>
          <w:p w14:paraId="1FC81134" w14:textId="77777777" w:rsidR="00026334" w:rsidRDefault="00026334" w:rsidP="00357B3F">
            <w:pPr>
              <w:jc w:val="both"/>
            </w:pPr>
            <w:r>
              <w:t>10</w:t>
            </w:r>
          </w:p>
        </w:tc>
        <w:tc>
          <w:tcPr>
            <w:tcW w:w="6428" w:type="dxa"/>
            <w:shd w:val="clear" w:color="auto" w:fill="auto"/>
          </w:tcPr>
          <w:p w14:paraId="5948AB71" w14:textId="14B7B828" w:rsidR="00026334" w:rsidRDefault="00026334">
            <w:pPr>
              <w:jc w:val="both"/>
            </w:pPr>
            <w:r>
              <w:t>C</w:t>
            </w:r>
            <w:r w:rsidRPr="00F735BE">
              <w:t>ontribu</w:t>
            </w:r>
            <w:r>
              <w:t>tion</w:t>
            </w:r>
            <w:r w:rsidRPr="00F735BE">
              <w:t xml:space="preserve"> à la réduction des inégalités entre les femmes et les hommes, à l’élimination des discriminations et des violences à l’égard des filles/femmes, </w:t>
            </w:r>
            <w:r>
              <w:t xml:space="preserve">ou la justification de l’absence d’impacts négatifs. </w:t>
            </w:r>
          </w:p>
        </w:tc>
      </w:tr>
    </w:tbl>
    <w:p w14:paraId="7A21EA33" w14:textId="77777777" w:rsidR="00026334" w:rsidRPr="005364EE" w:rsidRDefault="00026334" w:rsidP="005364EE"/>
    <w:p w14:paraId="67B42D76" w14:textId="64298DB6" w:rsidR="00B82ACF" w:rsidRPr="00BB3A6E" w:rsidRDefault="00BB3A6E" w:rsidP="00B82ACF">
      <w:pPr>
        <w:pStyle w:val="Titre1"/>
        <w:keepLines w:val="0"/>
        <w:spacing w:before="360" w:after="240" w:line="240" w:lineRule="auto"/>
        <w:ind w:left="567" w:hanging="567"/>
        <w:jc w:val="both"/>
        <w:rPr>
          <w:sz w:val="26"/>
          <w:szCs w:val="26"/>
        </w:rPr>
      </w:pPr>
      <w:bookmarkStart w:id="59" w:name="_Toc26784639"/>
      <w:bookmarkStart w:id="60" w:name="_Toc29476297"/>
      <w:bookmarkStart w:id="61" w:name="_Toc55391587"/>
      <w:r>
        <w:rPr>
          <w:sz w:val="26"/>
          <w:szCs w:val="26"/>
        </w:rPr>
        <w:lastRenderedPageBreak/>
        <w:t>3.7. Calendrier pré</w:t>
      </w:r>
      <w:r w:rsidRPr="00BB3A6E">
        <w:rPr>
          <w:sz w:val="26"/>
          <w:szCs w:val="26"/>
        </w:rPr>
        <w:t>visionnel</w:t>
      </w:r>
      <w:bookmarkEnd w:id="59"/>
      <w:bookmarkEnd w:id="60"/>
      <w:bookmarkEnd w:id="61"/>
    </w:p>
    <w:p w14:paraId="054D29D5" w14:textId="76982CD0" w:rsidR="00B82ACF" w:rsidRPr="00491397" w:rsidRDefault="00B82ACF" w:rsidP="00B82ACF">
      <w:r>
        <w:t>L</w:t>
      </w:r>
      <w:r w:rsidRPr="00491397">
        <w:t xml:space="preserve">e calendrier </w:t>
      </w:r>
      <w:r>
        <w:t xml:space="preserve">prévisionnel indicatif </w:t>
      </w:r>
      <w:r w:rsidRPr="00491397">
        <w:t>pour cette FISONG</w:t>
      </w:r>
      <w:r>
        <w:t xml:space="preserve"> est le suivant</w:t>
      </w:r>
      <w:r w:rsidRPr="00491397">
        <w:t> :</w:t>
      </w:r>
      <w:r>
        <w:t xml:space="preserve"> </w:t>
      </w:r>
    </w:p>
    <w:tbl>
      <w:tblPr>
        <w:tblpPr w:leftFromText="141" w:rightFromText="141" w:vertAnchor="text"/>
        <w:tblW w:w="9180" w:type="dxa"/>
        <w:tblCellMar>
          <w:left w:w="0" w:type="dxa"/>
          <w:right w:w="0" w:type="dxa"/>
        </w:tblCellMar>
        <w:tblLook w:val="04A0" w:firstRow="1" w:lastRow="0" w:firstColumn="1" w:lastColumn="0" w:noHBand="0" w:noVBand="1"/>
      </w:tblPr>
      <w:tblGrid>
        <w:gridCol w:w="4077"/>
        <w:gridCol w:w="5103"/>
      </w:tblGrid>
      <w:tr w:rsidR="00B82ACF" w:rsidRPr="00491397" w14:paraId="4F52B585" w14:textId="77777777" w:rsidTr="007E0CE5">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14:paraId="7C4A740B" w14:textId="57AC5F53" w:rsidR="00B82ACF" w:rsidRPr="00491397" w:rsidRDefault="00B82ACF" w:rsidP="007E0CE5">
            <w:pPr>
              <w:pStyle w:val="Paragraphedeliste"/>
              <w:ind w:left="0"/>
              <w:rPr>
                <w:b/>
                <w:bCs/>
                <w:smallCaps/>
              </w:rPr>
            </w:pPr>
            <w:r w:rsidRPr="007D4F47">
              <w:rPr>
                <w:b/>
                <w:bCs/>
                <w:smallCaps/>
              </w:rPr>
              <w:t>calendrier FISONG 20</w:t>
            </w:r>
            <w:r w:rsidR="008420A3">
              <w:rPr>
                <w:b/>
                <w:bCs/>
                <w:smallCaps/>
              </w:rPr>
              <w:t>21</w:t>
            </w:r>
          </w:p>
        </w:tc>
      </w:tr>
      <w:tr w:rsidR="00B82ACF" w:rsidRPr="006E62E1" w14:paraId="7CCBF885"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A7BF8" w14:textId="074418B5" w:rsidR="00B82ACF" w:rsidRPr="006E62E1" w:rsidRDefault="008420A3" w:rsidP="007E0CE5">
            <w:pPr>
              <w:pStyle w:val="Paragraphedeliste"/>
              <w:ind w:left="0"/>
              <w:rPr>
                <w:smallCaps/>
              </w:rPr>
            </w:pPr>
            <w:r>
              <w:rPr>
                <w:smallCaps/>
              </w:rPr>
              <w:t>Janvier</w:t>
            </w:r>
            <w:r w:rsidR="00B82ACF">
              <w:rPr>
                <w:smallCaps/>
              </w:rPr>
              <w:t xml:space="preserve"> </w:t>
            </w:r>
            <w:r>
              <w:rPr>
                <w:smallCaps/>
              </w:rPr>
              <w:t>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42ABF7" w14:textId="77777777" w:rsidR="00B82ACF" w:rsidRPr="006E62E1" w:rsidRDefault="00B82ACF" w:rsidP="007E0CE5">
            <w:pPr>
              <w:pStyle w:val="Paragraphedeliste"/>
              <w:ind w:left="0"/>
              <w:rPr>
                <w:smallCaps/>
              </w:rPr>
            </w:pPr>
            <w:r>
              <w:rPr>
                <w:smallCaps/>
              </w:rPr>
              <w:t>Publication</w:t>
            </w:r>
            <w:r w:rsidRPr="006E62E1">
              <w:rPr>
                <w:smallCaps/>
              </w:rPr>
              <w:t xml:space="preserve"> appel à propositions</w:t>
            </w:r>
          </w:p>
        </w:tc>
      </w:tr>
      <w:tr w:rsidR="00B82ACF" w:rsidRPr="006E62E1" w14:paraId="75B84F80"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0A05B2" w14:textId="0B572A15" w:rsidR="00B82ACF" w:rsidRPr="006E62E1" w:rsidRDefault="008420A3" w:rsidP="007E0CE5">
            <w:pPr>
              <w:pStyle w:val="Paragraphedeliste"/>
              <w:ind w:left="0"/>
              <w:rPr>
                <w:smallCaps/>
              </w:rPr>
            </w:pPr>
            <w:r>
              <w:rPr>
                <w:smallCaps/>
              </w:rPr>
              <w:t>Janvier</w:t>
            </w:r>
            <w:r w:rsidR="00B82ACF">
              <w:rPr>
                <w:smallCaps/>
              </w:rPr>
              <w:t xml:space="preserve"> </w:t>
            </w:r>
            <w:r>
              <w:rPr>
                <w:smallCaps/>
              </w:rPr>
              <w:t>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3894F68" w14:textId="77777777" w:rsidR="00B82ACF" w:rsidRPr="006E62E1" w:rsidRDefault="00B82ACF" w:rsidP="007E0CE5">
            <w:pPr>
              <w:pStyle w:val="Paragraphedeliste"/>
              <w:ind w:left="0"/>
              <w:rPr>
                <w:smallCaps/>
              </w:rPr>
            </w:pPr>
            <w:r w:rsidRPr="006E62E1">
              <w:rPr>
                <w:smallCaps/>
              </w:rPr>
              <w:t>date limite de réception des questions relatives à l’appel à propositions</w:t>
            </w:r>
          </w:p>
        </w:tc>
      </w:tr>
      <w:tr w:rsidR="00B82ACF" w:rsidRPr="006E62E1" w14:paraId="0EFE7DD1"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ED21E" w14:textId="0709FD4E" w:rsidR="00B82ACF" w:rsidRPr="006E62E1" w:rsidRDefault="00462E87" w:rsidP="008420A3">
            <w:pPr>
              <w:pStyle w:val="Paragraphedeliste"/>
              <w:ind w:left="0"/>
              <w:rPr>
                <w:smallCaps/>
              </w:rPr>
            </w:pPr>
            <w:r>
              <w:rPr>
                <w:smallCaps/>
              </w:rPr>
              <w:t>Février</w:t>
            </w:r>
            <w:r w:rsidR="00B82ACF">
              <w:rPr>
                <w:smallCaps/>
              </w:rPr>
              <w:t xml:space="preserve"> 202</w:t>
            </w:r>
            <w:r w:rsidR="008420A3">
              <w:rPr>
                <w:smallCaps/>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2B5FA30A" w14:textId="77777777" w:rsidR="00B82ACF" w:rsidRPr="006E62E1" w:rsidRDefault="00B82ACF" w:rsidP="007E0CE5">
            <w:pPr>
              <w:pStyle w:val="Paragraphedeliste"/>
              <w:ind w:left="0"/>
              <w:rPr>
                <w:smallCaps/>
              </w:rPr>
            </w:pPr>
            <w:r w:rsidRPr="006E62E1">
              <w:rPr>
                <w:smallCaps/>
              </w:rPr>
              <w:t>publication sur le site de l’</w:t>
            </w:r>
            <w:r>
              <w:rPr>
                <w:smallCaps/>
              </w:rPr>
              <w:t>AFD</w:t>
            </w:r>
            <w:r w:rsidRPr="006E62E1">
              <w:rPr>
                <w:smallCaps/>
              </w:rPr>
              <w:t xml:space="preserve"> des réponses aux questions des </w:t>
            </w:r>
            <w:r>
              <w:rPr>
                <w:smallCaps/>
              </w:rPr>
              <w:t>ONG</w:t>
            </w:r>
          </w:p>
        </w:tc>
      </w:tr>
      <w:tr w:rsidR="00B82ACF" w:rsidRPr="006E62E1" w14:paraId="0C85937A"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D83D5" w14:textId="397E545E" w:rsidR="00B82ACF" w:rsidRPr="006E62E1" w:rsidRDefault="007C7980" w:rsidP="008420A3">
            <w:pPr>
              <w:pStyle w:val="Paragraphedeliste"/>
              <w:ind w:left="0"/>
              <w:rPr>
                <w:smallCaps/>
              </w:rPr>
            </w:pPr>
            <w:r>
              <w:rPr>
                <w:smallCaps/>
              </w:rPr>
              <w:t>Avril</w:t>
            </w:r>
            <w:r w:rsidR="008420A3">
              <w:rPr>
                <w:smallCaps/>
              </w:rPr>
              <w:t xml:space="preserve">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27521A" w14:textId="77777777" w:rsidR="00B82ACF" w:rsidRPr="006E62E1" w:rsidRDefault="00B82ACF" w:rsidP="007E0CE5">
            <w:pPr>
              <w:pStyle w:val="Paragraphedeliste"/>
              <w:ind w:left="0"/>
              <w:rPr>
                <w:smallCaps/>
              </w:rPr>
            </w:pPr>
            <w:r w:rsidRPr="006E62E1">
              <w:rPr>
                <w:smallCaps/>
              </w:rPr>
              <w:t>réception des offres – ouverture des plis</w:t>
            </w:r>
          </w:p>
        </w:tc>
      </w:tr>
      <w:tr w:rsidR="00B82ACF" w:rsidRPr="006E62E1" w14:paraId="2A05F7A5"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775AD" w14:textId="16AC37BA" w:rsidR="00B82ACF" w:rsidRPr="006E62E1" w:rsidRDefault="007C7980" w:rsidP="003B5418">
            <w:pPr>
              <w:pStyle w:val="Paragraphedeliste"/>
              <w:ind w:left="0"/>
              <w:rPr>
                <w:smallCaps/>
              </w:rPr>
            </w:pPr>
            <w:r>
              <w:rPr>
                <w:smallCaps/>
              </w:rPr>
              <w:t>M</w:t>
            </w:r>
            <w:r w:rsidR="003B5418">
              <w:rPr>
                <w:smallCaps/>
              </w:rPr>
              <w:t>ai</w:t>
            </w:r>
            <w:r>
              <w:rPr>
                <w:smallCaps/>
              </w:rPr>
              <w:t>/</w:t>
            </w:r>
            <w:r w:rsidR="003B5418">
              <w:rPr>
                <w:smallCaps/>
              </w:rPr>
              <w:t>juin</w:t>
            </w:r>
            <w:r w:rsidR="00B82ACF">
              <w:rPr>
                <w:smallCaps/>
              </w:rPr>
              <w:t xml:space="preserve"> 202</w:t>
            </w:r>
            <w:r w:rsidR="002F3850">
              <w:rPr>
                <w:smallCaps/>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0EA5D31" w14:textId="77777777" w:rsidR="00B82ACF" w:rsidRPr="006E62E1" w:rsidRDefault="00B82ACF" w:rsidP="007E0CE5">
            <w:pPr>
              <w:pStyle w:val="Paragraphedeliste"/>
              <w:ind w:left="0"/>
              <w:rPr>
                <w:smallCaps/>
              </w:rPr>
            </w:pPr>
            <w:r w:rsidRPr="006E62E1">
              <w:rPr>
                <w:smallCaps/>
              </w:rPr>
              <w:t>pré-sélection – avis ambassadeurs</w:t>
            </w:r>
          </w:p>
        </w:tc>
      </w:tr>
      <w:tr w:rsidR="00B82ACF" w:rsidRPr="006E62E1" w14:paraId="155AB8B2"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A3C6C" w14:textId="5C6A01B1" w:rsidR="00B82ACF" w:rsidRPr="006E62E1" w:rsidRDefault="002F3850" w:rsidP="007E0CE5">
            <w:pPr>
              <w:pStyle w:val="Paragraphedeliste"/>
              <w:ind w:left="0"/>
              <w:rPr>
                <w:smallCaps/>
              </w:rPr>
            </w:pPr>
            <w:r>
              <w:rPr>
                <w:smallCaps/>
              </w:rPr>
              <w:t>Août</w:t>
            </w:r>
            <w:r w:rsidR="00B82ACF" w:rsidRPr="006E62E1">
              <w:rPr>
                <w:smallCaps/>
              </w:rPr>
              <w:t xml:space="preserve"> </w:t>
            </w:r>
            <w:r>
              <w:rPr>
                <w:smallCaps/>
              </w:rPr>
              <w:t>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E004" w14:textId="77777777" w:rsidR="00B82ACF" w:rsidRPr="006E62E1" w:rsidRDefault="00B82ACF" w:rsidP="007E0CE5">
            <w:pPr>
              <w:pStyle w:val="Paragraphedeliste"/>
              <w:ind w:left="0"/>
              <w:rPr>
                <w:smallCaps/>
              </w:rPr>
            </w:pPr>
            <w:r w:rsidRPr="006E62E1">
              <w:rPr>
                <w:smallCaps/>
              </w:rPr>
              <w:t xml:space="preserve">sélection </w:t>
            </w:r>
          </w:p>
        </w:tc>
      </w:tr>
      <w:tr w:rsidR="00B82ACF" w:rsidRPr="006E62E1" w14:paraId="4E03BC15"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C43D4" w14:textId="224471E1" w:rsidR="00B82ACF" w:rsidRPr="006E62E1" w:rsidRDefault="002F3850" w:rsidP="002F3850">
            <w:pPr>
              <w:pStyle w:val="Paragraphedeliste"/>
              <w:ind w:left="0"/>
              <w:rPr>
                <w:smallCaps/>
              </w:rPr>
            </w:pPr>
            <w:r>
              <w:rPr>
                <w:smallCaps/>
              </w:rPr>
              <w:t>Août</w:t>
            </w:r>
            <w:r w:rsidR="00B82ACF">
              <w:rPr>
                <w:smallCaps/>
              </w:rPr>
              <w:t xml:space="preserve"> 202</w:t>
            </w:r>
            <w:r>
              <w:rPr>
                <w:smallCaps/>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872FA93" w14:textId="77777777" w:rsidR="00B82ACF" w:rsidRPr="006E62E1" w:rsidRDefault="00B82ACF" w:rsidP="007E0CE5">
            <w:pPr>
              <w:pStyle w:val="Paragraphedeliste"/>
              <w:ind w:left="0"/>
              <w:rPr>
                <w:smallCaps/>
              </w:rPr>
            </w:pPr>
            <w:r w:rsidRPr="006E62E1">
              <w:rPr>
                <w:smallCaps/>
              </w:rPr>
              <w:t>annonce des résultats aux ONG</w:t>
            </w:r>
          </w:p>
        </w:tc>
      </w:tr>
      <w:tr w:rsidR="003B5418" w:rsidRPr="006E62E1" w14:paraId="4CD4CD5A" w14:textId="77777777" w:rsidTr="007E0CE5">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5F2FF5A" w14:textId="4525D922" w:rsidR="003B5418" w:rsidRDefault="003B5418" w:rsidP="007E0CE5">
            <w:pPr>
              <w:pStyle w:val="Paragraphedeliste"/>
              <w:ind w:left="0"/>
              <w:rPr>
                <w:smallCaps/>
              </w:rPr>
            </w:pPr>
            <w:r>
              <w:rPr>
                <w:smallCaps/>
              </w:rPr>
              <w:t>Septembre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63AE7A0" w14:textId="283E5534" w:rsidR="003B5418" w:rsidRPr="006E62E1" w:rsidRDefault="003B5418" w:rsidP="007E0CE5">
            <w:pPr>
              <w:pStyle w:val="Paragraphedeliste"/>
              <w:ind w:left="0"/>
              <w:rPr>
                <w:smallCaps/>
              </w:rPr>
            </w:pPr>
            <w:r>
              <w:rPr>
                <w:smallCaps/>
              </w:rPr>
              <w:t>formation genre pour les ONG selectionnées</w:t>
            </w:r>
          </w:p>
        </w:tc>
      </w:tr>
      <w:tr w:rsidR="003B5418" w:rsidRPr="006E62E1" w14:paraId="579FA95D" w14:textId="77777777" w:rsidTr="007E0CE5">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A9FD972" w14:textId="3F5FEDC8" w:rsidR="003B5418" w:rsidRDefault="003B5418" w:rsidP="007E0CE5">
            <w:pPr>
              <w:pStyle w:val="Paragraphedeliste"/>
              <w:ind w:left="0"/>
              <w:rPr>
                <w:smallCaps/>
              </w:rPr>
            </w:pPr>
            <w:r>
              <w:rPr>
                <w:smallCaps/>
              </w:rPr>
              <w:t>Septembre/octobre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165C0BC" w14:textId="518F7D32" w:rsidR="003B5418" w:rsidRPr="006E62E1" w:rsidRDefault="003B5418" w:rsidP="00875F65">
            <w:pPr>
              <w:pStyle w:val="Paragraphedeliste"/>
              <w:ind w:left="0"/>
              <w:rPr>
                <w:smallCaps/>
              </w:rPr>
            </w:pPr>
            <w:r>
              <w:rPr>
                <w:smallCaps/>
              </w:rPr>
              <w:t xml:space="preserve">appui genre pour la redaction des projets </w:t>
            </w:r>
          </w:p>
        </w:tc>
      </w:tr>
      <w:tr w:rsidR="00B82ACF" w:rsidRPr="006E62E1" w14:paraId="698F23BD" w14:textId="77777777" w:rsidTr="007E0CE5">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5353F0" w14:textId="4C9D3D88" w:rsidR="00B82ACF" w:rsidRPr="006E62E1" w:rsidRDefault="002F3850" w:rsidP="007E0CE5">
            <w:pPr>
              <w:pStyle w:val="Paragraphedeliste"/>
              <w:ind w:left="0"/>
              <w:rPr>
                <w:smallCaps/>
              </w:rPr>
            </w:pPr>
            <w:r>
              <w:rPr>
                <w:smallCaps/>
              </w:rPr>
              <w:t>Octobre</w:t>
            </w:r>
            <w:r w:rsidR="00B82ACF">
              <w:rPr>
                <w:smallCaps/>
              </w:rPr>
              <w:t xml:space="preserve"> 20</w:t>
            </w:r>
            <w:r>
              <w:rPr>
                <w:smallCaps/>
              </w:rPr>
              <w:t>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7C7DDA8" w14:textId="77777777" w:rsidR="00B82ACF" w:rsidRPr="006E62E1" w:rsidRDefault="00B82ACF" w:rsidP="007E0CE5">
            <w:pPr>
              <w:pStyle w:val="Paragraphedeliste"/>
              <w:ind w:left="0"/>
              <w:rPr>
                <w:smallCaps/>
              </w:rPr>
            </w:pPr>
            <w:r w:rsidRPr="006E62E1">
              <w:rPr>
                <w:smallCaps/>
              </w:rPr>
              <w:t>réception des dossiers - instruction</w:t>
            </w:r>
          </w:p>
        </w:tc>
      </w:tr>
      <w:tr w:rsidR="00B82ACF" w:rsidRPr="006E62E1" w14:paraId="27D70408" w14:textId="77777777" w:rsidTr="007E0CE5">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5AEA3A" w14:textId="76CEDB00" w:rsidR="00B82ACF" w:rsidRPr="006E62E1" w:rsidRDefault="002F3850" w:rsidP="007E0CE5">
            <w:pPr>
              <w:pStyle w:val="Paragraphedeliste"/>
              <w:ind w:left="0"/>
              <w:rPr>
                <w:smallCaps/>
              </w:rPr>
            </w:pPr>
            <w:r>
              <w:rPr>
                <w:smallCaps/>
              </w:rPr>
              <w:t>Decembre</w:t>
            </w:r>
            <w:r w:rsidR="00B82ACF">
              <w:rPr>
                <w:smallCaps/>
              </w:rPr>
              <w:t xml:space="preserve"> </w:t>
            </w:r>
            <w:r w:rsidR="00B82ACF" w:rsidRPr="006E62E1">
              <w:rPr>
                <w:smallCaps/>
              </w:rPr>
              <w:t>20</w:t>
            </w:r>
            <w:r>
              <w:rPr>
                <w:smallCaps/>
              </w:rPr>
              <w:t>21</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D87395" w14:textId="77777777" w:rsidR="00B82ACF" w:rsidRPr="006E62E1" w:rsidRDefault="00B82ACF" w:rsidP="007E0CE5">
            <w:pPr>
              <w:pStyle w:val="Paragraphedeliste"/>
              <w:ind w:left="0"/>
              <w:rPr>
                <w:smallCaps/>
              </w:rPr>
            </w:pPr>
            <w:r>
              <w:rPr>
                <w:smallCaps/>
              </w:rPr>
              <w:t>Signature des conventions</w:t>
            </w:r>
          </w:p>
        </w:tc>
      </w:tr>
      <w:tr w:rsidR="00B82ACF" w:rsidRPr="006E62E1" w14:paraId="2C14BD5A" w14:textId="77777777" w:rsidTr="007E0CE5">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265C5" w14:textId="0DEE7D27" w:rsidR="00B82ACF" w:rsidRPr="006E62E1" w:rsidRDefault="00B82ACF" w:rsidP="007E0CE5">
            <w:pPr>
              <w:pStyle w:val="Paragraphedeliste"/>
              <w:ind w:left="0"/>
              <w:rPr>
                <w:smallCaps/>
              </w:rPr>
            </w:pPr>
            <w:r>
              <w:rPr>
                <w:smallCaps/>
              </w:rPr>
              <w:t>1</w:t>
            </w:r>
            <w:r w:rsidRPr="003724C8">
              <w:rPr>
                <w:smallCaps/>
                <w:vertAlign w:val="superscript"/>
              </w:rPr>
              <w:t>er</w:t>
            </w:r>
            <w:r>
              <w:rPr>
                <w:smallCaps/>
              </w:rPr>
              <w:t xml:space="preserve"> trimestre </w:t>
            </w:r>
            <w:r w:rsidR="002F3850">
              <w:rPr>
                <w:smallCaps/>
              </w:rPr>
              <w:t>2022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2C71F9F" w14:textId="77777777" w:rsidR="00B82ACF" w:rsidRPr="006E62E1" w:rsidRDefault="00B82ACF" w:rsidP="007E0CE5">
            <w:pPr>
              <w:pStyle w:val="Paragraphedeliste"/>
              <w:ind w:left="0"/>
              <w:rPr>
                <w:smallCaps/>
              </w:rPr>
            </w:pPr>
            <w:r>
              <w:rPr>
                <w:smallCaps/>
              </w:rPr>
              <w:t>Dé</w:t>
            </w:r>
            <w:r w:rsidRPr="006E62E1">
              <w:rPr>
                <w:smallCaps/>
              </w:rPr>
              <w:t>marrage des projets</w:t>
            </w:r>
          </w:p>
        </w:tc>
      </w:tr>
    </w:tbl>
    <w:p w14:paraId="32B0EE14" w14:textId="77777777" w:rsidR="00B82ACF" w:rsidRDefault="00B82ACF" w:rsidP="00B82ACF">
      <w:pPr>
        <w:rPr>
          <w:b/>
        </w:rPr>
      </w:pPr>
    </w:p>
    <w:p w14:paraId="48AA5194" w14:textId="49A5A252" w:rsidR="00B82ACF" w:rsidRDefault="00B82ACF" w:rsidP="00B82ACF">
      <w:pPr>
        <w:rPr>
          <w:b/>
        </w:rPr>
      </w:pPr>
      <w:r w:rsidRPr="006D40B2">
        <w:rPr>
          <w:b/>
        </w:rPr>
        <w:t xml:space="preserve">Une réunion de concertation aura lieu à </w:t>
      </w:r>
      <w:r w:rsidRPr="00DF77E5">
        <w:rPr>
          <w:b/>
        </w:rPr>
        <w:t xml:space="preserve">l’AFD le </w:t>
      </w:r>
      <w:r w:rsidR="00026334">
        <w:rPr>
          <w:b/>
        </w:rPr>
        <w:t xml:space="preserve">20 novembre 2020 à </w:t>
      </w:r>
      <w:r w:rsidR="00AD316F">
        <w:rPr>
          <w:b/>
        </w:rPr>
        <w:t>10h00 (GMT+1).</w:t>
      </w:r>
      <w:r w:rsidR="00AD316F" w:rsidRPr="006D40B2">
        <w:rPr>
          <w:b/>
        </w:rPr>
        <w:t xml:space="preserve"> </w:t>
      </w:r>
      <w:r w:rsidRPr="006D40B2">
        <w:rPr>
          <w:b/>
        </w:rPr>
        <w:t xml:space="preserve">Inscriptions sur </w:t>
      </w:r>
      <w:hyperlink r:id="rId12" w:history="1">
        <w:r w:rsidRPr="006D40B2">
          <w:rPr>
            <w:rStyle w:val="Lienhypertexte"/>
            <w:b/>
          </w:rPr>
          <w:t>fisong@afd.fr</w:t>
        </w:r>
      </w:hyperlink>
      <w:r w:rsidRPr="006D40B2">
        <w:rPr>
          <w:b/>
        </w:rPr>
        <w:t xml:space="preserve">. </w:t>
      </w:r>
    </w:p>
    <w:p w14:paraId="49086C36" w14:textId="77777777" w:rsidR="00B82ACF" w:rsidRDefault="00B82ACF" w:rsidP="00B82ACF">
      <w:pPr>
        <w:rPr>
          <w:b/>
        </w:rPr>
      </w:pPr>
    </w:p>
    <w:p w14:paraId="632C3E77" w14:textId="77777777" w:rsidR="00B82ACF" w:rsidRDefault="00B82ACF" w:rsidP="00B82ACF">
      <w:pPr>
        <w:spacing w:after="200" w:line="276" w:lineRule="auto"/>
        <w:rPr>
          <w:b/>
        </w:rPr>
      </w:pPr>
      <w:r>
        <w:rPr>
          <w:b/>
        </w:rPr>
        <w:br w:type="page"/>
      </w:r>
    </w:p>
    <w:p w14:paraId="7C14725A" w14:textId="77777777" w:rsidR="00B82ACF" w:rsidRDefault="00B82ACF" w:rsidP="00174D2F"/>
    <w:sectPr w:rsidR="00B82AC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8CAAD9" w16cid:durableId="2342BE6B"/>
  <w16cid:commentId w16cid:paraId="1870FF18" w16cid:durableId="2342C21E"/>
  <w16cid:commentId w16cid:paraId="1276B131" w16cid:durableId="2342BF8A"/>
  <w16cid:commentId w16cid:paraId="1E97E5AF" w16cid:durableId="2342C0AE"/>
  <w16cid:commentId w16cid:paraId="772E3EE9" w16cid:durableId="2342C166"/>
  <w16cid:commentId w16cid:paraId="3D395343" w16cid:durableId="2342CB92"/>
  <w16cid:commentId w16cid:paraId="2DF5B5E5" w16cid:durableId="2342CC98"/>
  <w16cid:commentId w16cid:paraId="3DD0C270" w16cid:durableId="2342CCDF"/>
  <w16cid:commentId w16cid:paraId="13F1A396" w16cid:durableId="2342CD25"/>
  <w16cid:commentId w16cid:paraId="0846D078" w16cid:durableId="2342CD5F"/>
  <w16cid:commentId w16cid:paraId="0553BCD9" w16cid:durableId="2342BE40"/>
  <w16cid:commentId w16cid:paraId="4C1167F9" w16cid:durableId="2342BE41"/>
  <w16cid:commentId w16cid:paraId="64E6EA60" w16cid:durableId="2342CE2C"/>
  <w16cid:commentId w16cid:paraId="270D7870" w16cid:durableId="2342CE51"/>
  <w16cid:commentId w16cid:paraId="4E661CCA" w16cid:durableId="2342CE96"/>
  <w16cid:commentId w16cid:paraId="6E7C2259" w16cid:durableId="2342CFCF"/>
  <w16cid:commentId w16cid:paraId="383929E2" w16cid:durableId="2342D1BB"/>
  <w16cid:commentId w16cid:paraId="549D6D21" w16cid:durableId="2342D5BD"/>
  <w16cid:commentId w16cid:paraId="0B090F5C" w16cid:durableId="2342D5F4"/>
  <w16cid:commentId w16cid:paraId="45694E2C" w16cid:durableId="2342D6B1"/>
  <w16cid:commentId w16cid:paraId="58A33A7D" w16cid:durableId="2342D7A7"/>
  <w16cid:commentId w16cid:paraId="1DE6F2FB" w16cid:durableId="2342BE42"/>
  <w16cid:commentId w16cid:paraId="14581704" w16cid:durableId="2342D7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9986" w14:textId="77777777" w:rsidR="00914447" w:rsidRDefault="00914447" w:rsidP="001273AB">
      <w:pPr>
        <w:spacing w:after="0" w:line="240" w:lineRule="auto"/>
      </w:pPr>
      <w:r>
        <w:separator/>
      </w:r>
    </w:p>
  </w:endnote>
  <w:endnote w:type="continuationSeparator" w:id="0">
    <w:p w14:paraId="10A4AEFD" w14:textId="77777777" w:rsidR="00914447" w:rsidRDefault="00914447" w:rsidP="0012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7A10" w14:textId="77777777" w:rsidR="00914447" w:rsidRDefault="00914447" w:rsidP="001273AB">
      <w:pPr>
        <w:spacing w:after="0" w:line="240" w:lineRule="auto"/>
      </w:pPr>
      <w:r>
        <w:separator/>
      </w:r>
    </w:p>
  </w:footnote>
  <w:footnote w:type="continuationSeparator" w:id="0">
    <w:p w14:paraId="2D946410" w14:textId="77777777" w:rsidR="00914447" w:rsidRDefault="00914447" w:rsidP="001273AB">
      <w:pPr>
        <w:spacing w:after="0" w:line="240" w:lineRule="auto"/>
      </w:pPr>
      <w:r>
        <w:continuationSeparator/>
      </w:r>
    </w:p>
  </w:footnote>
  <w:footnote w:id="1">
    <w:p w14:paraId="38C97710" w14:textId="55D0759B" w:rsidR="001C0D2C" w:rsidRDefault="001C0D2C" w:rsidP="00875F65">
      <w:pPr>
        <w:pStyle w:val="Commentaire"/>
        <w:spacing w:after="0"/>
      </w:pPr>
      <w:r>
        <w:rPr>
          <w:rStyle w:val="Appelnotedebasdep"/>
        </w:rPr>
        <w:footnoteRef/>
      </w:r>
      <w:r>
        <w:t xml:space="preserve"> Source : </w:t>
      </w:r>
      <w:r w:rsidRPr="00C62BC4">
        <w:rPr>
          <w:i/>
        </w:rPr>
        <w:t>Revue T</w:t>
      </w:r>
      <w:r w:rsidRPr="00875F65">
        <w:rPr>
          <w:i/>
        </w:rPr>
        <w:t>iers Monde</w:t>
      </w:r>
      <w:r>
        <w:t>, Travail, femmes et migrations dans les suds (2014/1)</w:t>
      </w:r>
    </w:p>
  </w:footnote>
  <w:footnote w:id="2">
    <w:p w14:paraId="73F4ECB8" w14:textId="77777777" w:rsidR="001C0D2C" w:rsidRPr="00586F71" w:rsidRDefault="001C0D2C" w:rsidP="00AB0563">
      <w:pPr>
        <w:pStyle w:val="Notedebasdepage"/>
        <w:rPr>
          <w:lang w:val="en-US"/>
        </w:rPr>
      </w:pPr>
      <w:r>
        <w:rPr>
          <w:rStyle w:val="Appelnotedebasdep"/>
        </w:rPr>
        <w:footnoteRef/>
      </w:r>
      <w:r w:rsidRPr="00586F71">
        <w:rPr>
          <w:lang w:val="en-US"/>
        </w:rPr>
        <w:t xml:space="preserve"> </w:t>
      </w:r>
      <w:r>
        <w:rPr>
          <w:lang w:val="en-US"/>
        </w:rPr>
        <w:t>Source : UNHCR.</w:t>
      </w:r>
    </w:p>
  </w:footnote>
  <w:footnote w:id="3">
    <w:p w14:paraId="162A42FC" w14:textId="77777777" w:rsidR="001C0D2C" w:rsidRPr="00385110" w:rsidRDefault="001C0D2C" w:rsidP="00AB0563">
      <w:pPr>
        <w:pStyle w:val="Notedebasdepage"/>
        <w:jc w:val="both"/>
        <w:rPr>
          <w:lang w:val="en-US"/>
        </w:rPr>
      </w:pPr>
      <w:r>
        <w:rPr>
          <w:rStyle w:val="Appelnotedebasdep"/>
        </w:rPr>
        <w:footnoteRef/>
      </w:r>
      <w:r w:rsidRPr="00385110">
        <w:rPr>
          <w:lang w:val="en-US"/>
        </w:rPr>
        <w:t xml:space="preserve"> </w:t>
      </w:r>
      <w:r w:rsidRPr="00385110">
        <w:rPr>
          <w:rFonts w:ascii="Calibri" w:eastAsia="Times New Roman" w:hAnsi="Calibri" w:cs="Calibri"/>
          <w:iCs/>
          <w:lang w:val="en-US" w:eastAsia="fr-FR"/>
        </w:rPr>
        <w:t>“</w:t>
      </w:r>
      <w:r w:rsidRPr="00385110">
        <w:rPr>
          <w:rFonts w:ascii="Calibri" w:eastAsia="Times New Roman" w:hAnsi="Calibri" w:cs="Calibri"/>
          <w:i/>
          <w:iCs/>
          <w:lang w:val="en-US" w:eastAsia="fr-FR"/>
        </w:rPr>
        <w:t>Through the promotion of jobs and livelihoods for refugees, the UN Global Compact on Refugees – which was adopted by the UN General Assembly in December 2018 – calls for support to facilitate access to affordable financial products and services for host and refugee communities”</w:t>
      </w:r>
      <w:r>
        <w:rPr>
          <w:lang w:val="en-US"/>
        </w:rPr>
        <w:t xml:space="preserve"> (</w:t>
      </w:r>
      <w:r w:rsidRPr="00385110">
        <w:rPr>
          <w:lang w:val="en-US"/>
        </w:rPr>
        <w:t>UNHCR</w:t>
      </w:r>
      <w:r>
        <w:rPr>
          <w:lang w:val="en-US"/>
        </w:rPr>
        <w:t xml:space="preserve"> 2018, </w:t>
      </w:r>
      <w:hyperlink r:id="rId1" w:history="1">
        <w:r w:rsidRPr="00385110">
          <w:rPr>
            <w:rStyle w:val="Lienhypertexte"/>
            <w:lang w:val="en-US"/>
          </w:rPr>
          <w:t>global compact on refugees</w:t>
        </w:r>
      </w:hyperlink>
      <w:r>
        <w:rPr>
          <w:lang w:val="en-US"/>
        </w:rPr>
        <w:t>).</w:t>
      </w:r>
    </w:p>
  </w:footnote>
  <w:footnote w:id="4">
    <w:p w14:paraId="6E588600" w14:textId="77777777" w:rsidR="001C0D2C" w:rsidRPr="00385110" w:rsidRDefault="001C0D2C" w:rsidP="00AB0563">
      <w:pPr>
        <w:pStyle w:val="Notedebasdepage"/>
        <w:jc w:val="both"/>
        <w:rPr>
          <w:iCs/>
          <w:lang w:val="en-US"/>
        </w:rPr>
      </w:pPr>
      <w:r>
        <w:rPr>
          <w:rStyle w:val="Appelnotedebasdep"/>
        </w:rPr>
        <w:footnoteRef/>
      </w:r>
      <w:r w:rsidRPr="00385110">
        <w:rPr>
          <w:lang w:val="en-US"/>
        </w:rPr>
        <w:t xml:space="preserve"> Quelques références : </w:t>
      </w:r>
      <w:r w:rsidRPr="00385110">
        <w:rPr>
          <w:iCs/>
          <w:lang w:val="en-US"/>
        </w:rPr>
        <w:t xml:space="preserve">UNHCR et UNCDF, 2017 - </w:t>
      </w:r>
      <w:hyperlink r:id="rId2" w:history="1">
        <w:r w:rsidRPr="00385110">
          <w:rPr>
            <w:rStyle w:val="Lienhypertexte"/>
            <w:bCs/>
            <w:iCs/>
            <w:lang w:val="en-US"/>
          </w:rPr>
          <w:t>Financial inclusion of forcibly displaced persons and host communities</w:t>
        </w:r>
      </w:hyperlink>
      <w:r w:rsidRPr="00385110">
        <w:rPr>
          <w:lang w:val="en-US"/>
        </w:rPr>
        <w:t xml:space="preserve"> ; </w:t>
      </w:r>
      <w:r w:rsidRPr="00385110">
        <w:rPr>
          <w:bCs/>
          <w:iCs/>
          <w:lang w:val="en-US"/>
        </w:rPr>
        <w:t xml:space="preserve">GPFI, 2017 - </w:t>
      </w:r>
      <w:hyperlink r:id="rId3" w:history="1">
        <w:r w:rsidRPr="00385110">
          <w:rPr>
            <w:rStyle w:val="Lienhypertexte"/>
            <w:bCs/>
            <w:iCs/>
            <w:lang w:val="en-US"/>
          </w:rPr>
          <w:t>financial inclusion of forcibly displaced persons</w:t>
        </w:r>
      </w:hyperlink>
      <w:r>
        <w:rPr>
          <w:lang w:val="en-US"/>
        </w:rPr>
        <w:t xml:space="preserve"> ;</w:t>
      </w:r>
      <w:r w:rsidRPr="00385110">
        <w:rPr>
          <w:lang w:val="en-US"/>
        </w:rPr>
        <w:t xml:space="preserve"> </w:t>
      </w:r>
      <w:r w:rsidRPr="00385110">
        <w:rPr>
          <w:iCs/>
          <w:lang w:val="en-US"/>
        </w:rPr>
        <w:t xml:space="preserve">documentation sur le site du </w:t>
      </w:r>
      <w:hyperlink r:id="rId4" w:history="1">
        <w:r w:rsidRPr="00385110">
          <w:rPr>
            <w:rStyle w:val="Lienhypertexte"/>
            <w:iCs/>
            <w:lang w:val="en-US"/>
          </w:rPr>
          <w:t>CGAP</w:t>
        </w:r>
      </w:hyperlink>
      <w:r w:rsidRPr="00385110">
        <w:rPr>
          <w:iCs/>
          <w:lang w:val="en-US"/>
        </w:rPr>
        <w:t xml:space="preserve"> ; documentation sur </w:t>
      </w:r>
      <w:hyperlink r:id="rId5" w:history="1">
        <w:r w:rsidRPr="00385110">
          <w:rPr>
            <w:rStyle w:val="Lienhypertexte"/>
            <w:iCs/>
            <w:lang w:val="en-US"/>
          </w:rPr>
          <w:t>FinDevGateway</w:t>
        </w:r>
      </w:hyperlink>
      <w:r w:rsidRPr="00385110">
        <w:rPr>
          <w:iCs/>
          <w:lang w:val="en-US"/>
        </w:rPr>
        <w:t>.</w:t>
      </w:r>
    </w:p>
  </w:footnote>
  <w:footnote w:id="5">
    <w:p w14:paraId="57215E0C" w14:textId="70D003CA" w:rsidR="001C0D2C" w:rsidRDefault="001C0D2C" w:rsidP="00A668D7">
      <w:pPr>
        <w:pStyle w:val="Notedebasdepage"/>
        <w:jc w:val="both"/>
      </w:pPr>
      <w:r w:rsidRPr="00A668D7">
        <w:rPr>
          <w:rStyle w:val="Appelnotedebasdep"/>
        </w:rPr>
        <w:footnoteRef/>
      </w:r>
      <w:r w:rsidRPr="00A668D7">
        <w:t xml:space="preserve"> Seuls 24% des citoyen</w:t>
      </w:r>
      <w:r>
        <w:t>-ne-</w:t>
      </w:r>
      <w:r w:rsidRPr="00A668D7">
        <w:t>s des pays subissant une crise humanitaire ont un compte bancaire. Par rapport aux pays à bas et moyen revenus, l'épargne des pays en crise humanitaire est aussi cinq fois moins déposée dans des institutions financières (source: Findex).</w:t>
      </w:r>
    </w:p>
  </w:footnote>
  <w:footnote w:id="6">
    <w:p w14:paraId="70EE2DE5" w14:textId="27253BCE" w:rsidR="001C0D2C" w:rsidRDefault="001C0D2C">
      <w:pPr>
        <w:pStyle w:val="Notedebasdepage"/>
      </w:pPr>
      <w:r>
        <w:rPr>
          <w:rStyle w:val="Appelnotedebasdep"/>
        </w:rPr>
        <w:footnoteRef/>
      </w:r>
      <w:r>
        <w:t xml:space="preserve"> Source : Nations Unies – DESA, </w:t>
      </w:r>
      <w:hyperlink r:id="rId6" w:history="1">
        <w:r w:rsidRPr="000A494E">
          <w:rPr>
            <w:rStyle w:val="Lienhypertexte"/>
          </w:rPr>
          <w:t>https://news.un.org/fr/story/2019/09/1051802</w:t>
        </w:r>
      </w:hyperlink>
      <w:r>
        <w:t xml:space="preserve"> </w:t>
      </w:r>
    </w:p>
  </w:footnote>
  <w:footnote w:id="7">
    <w:p w14:paraId="13D994BD" w14:textId="6E8CBD9F" w:rsidR="001C0D2C" w:rsidRDefault="001C0D2C">
      <w:pPr>
        <w:pStyle w:val="Notedebasdepage"/>
      </w:pPr>
      <w:r>
        <w:rPr>
          <w:rStyle w:val="Appelnotedebasdep"/>
        </w:rPr>
        <w:footnoteRef/>
      </w:r>
      <w:r>
        <w:t xml:space="preserve"> NB : </w:t>
      </w:r>
      <w:r>
        <w:rPr>
          <w:rFonts w:ascii="Calibri" w:eastAsia="Times New Roman" w:hAnsi="Calibri" w:cs="Calibri"/>
          <w:lang w:eastAsia="fr-FR"/>
        </w:rPr>
        <w:t xml:space="preserve">Le renforcement des infrastructures financières est un enjeu « classique » de l’inclusion financière, quelle que </w:t>
      </w:r>
      <w:r w:rsidRPr="00086661">
        <w:rPr>
          <w:rFonts w:ascii="Calibri" w:eastAsia="Times New Roman" w:hAnsi="Calibri" w:cs="Calibri"/>
          <w:lang w:eastAsia="fr-FR"/>
        </w:rPr>
        <w:t>soit la population concernée.</w:t>
      </w:r>
      <w:r>
        <w:rPr>
          <w:rFonts w:ascii="Calibri" w:eastAsia="Times New Roman" w:hAnsi="Calibri" w:cs="Calibri"/>
          <w:lang w:eastAsia="fr-FR"/>
        </w:rPr>
        <w:t xml:space="preserve"> </w:t>
      </w:r>
    </w:p>
  </w:footnote>
  <w:footnote w:id="8">
    <w:p w14:paraId="4F2B6253" w14:textId="0958A316" w:rsidR="001C0D2C" w:rsidRDefault="001C0D2C">
      <w:pPr>
        <w:pStyle w:val="Notedebasdepage"/>
      </w:pPr>
      <w:r>
        <w:rPr>
          <w:rStyle w:val="Appelnotedebasdep"/>
        </w:rPr>
        <w:footnoteRef/>
      </w:r>
      <w:r>
        <w:t xml:space="preserve"> Exemple de l’initiative du Refugee Investment Network : </w:t>
      </w:r>
      <w:r w:rsidRPr="000269EE">
        <w:t>https://refugeeinvestments.org/</w:t>
      </w:r>
    </w:p>
  </w:footnote>
  <w:footnote w:id="9">
    <w:p w14:paraId="11C366DD" w14:textId="57C9752C" w:rsidR="001C0D2C" w:rsidRDefault="001C0D2C" w:rsidP="0084204D">
      <w:pPr>
        <w:pStyle w:val="Notedebasdepage"/>
        <w:jc w:val="both"/>
      </w:pPr>
      <w:r>
        <w:rPr>
          <w:rStyle w:val="Appelnotedebasdep"/>
        </w:rPr>
        <w:footnoteRef/>
      </w:r>
      <w:r>
        <w:t xml:space="preserve"> </w:t>
      </w:r>
      <w:hyperlink r:id="rId7" w:history="1">
        <w:r w:rsidRPr="009D0992">
          <w:rPr>
            <w:rStyle w:val="Lienhypertexte"/>
            <w:rFonts w:ascii="Calibri" w:eastAsia="Times New Roman" w:hAnsi="Calibri" w:cs="Calibri"/>
            <w:lang w:eastAsia="fr-FR"/>
          </w:rPr>
          <w:t>BM &amp; BAD</w:t>
        </w:r>
      </w:hyperlink>
      <w:r>
        <w:rPr>
          <w:rStyle w:val="Lienhypertexte"/>
          <w:rFonts w:ascii="Calibri" w:eastAsia="Times New Roman" w:hAnsi="Calibri" w:cs="Calibri"/>
          <w:lang w:eastAsia="fr-FR"/>
        </w:rPr>
        <w:t xml:space="preserve"> </w:t>
      </w:r>
      <w:r w:rsidRPr="00745DD0">
        <w:rPr>
          <w:rFonts w:ascii="Calibri" w:eastAsia="Times New Roman" w:hAnsi="Calibri" w:cs="Calibri"/>
          <w:i/>
          <w:lang w:eastAsia="fr-FR"/>
        </w:rPr>
        <w:t>optimisation du phénomène migratoire pour l’Afrique</w:t>
      </w:r>
      <w:r w:rsidRPr="009D0992">
        <w:rPr>
          <w:rFonts w:ascii="Calibri" w:eastAsia="Times New Roman" w:hAnsi="Calibri" w:cs="Calibri"/>
          <w:lang w:eastAsia="fr-FR"/>
        </w:rPr>
        <w:t xml:space="preserve"> p. </w:t>
      </w:r>
      <w:r>
        <w:rPr>
          <w:rFonts w:ascii="Calibri" w:eastAsia="Times New Roman" w:hAnsi="Calibri" w:cs="Calibri"/>
          <w:lang w:eastAsia="fr-FR"/>
        </w:rPr>
        <w:t>31 : Exemples de m</w:t>
      </w:r>
      <w:r w:rsidRPr="003B60E2">
        <w:rPr>
          <w:rFonts w:ascii="Calibri" w:eastAsia="Times New Roman" w:hAnsi="Calibri" w:cs="Calibri"/>
          <w:lang w:eastAsia="fr-FR"/>
        </w:rPr>
        <w:t>odèles émergents de transferts d’argent transfrontaliers régionaux utilisant l’argent mobile aux deux extrémités de la transaction</w:t>
      </w:r>
      <w:r>
        <w:rPr>
          <w:rFonts w:ascii="Calibri" w:eastAsia="Times New Roman" w:hAnsi="Calibri" w:cs="Calibri"/>
          <w:lang w:eastAsia="fr-FR"/>
        </w:rPr>
        <w:t xml:space="preserve"> (corridors intra-africains).</w:t>
      </w:r>
    </w:p>
  </w:footnote>
  <w:footnote w:id="10">
    <w:p w14:paraId="264439EF" w14:textId="77777777" w:rsidR="001C0D2C" w:rsidRPr="00875F65" w:rsidRDefault="001C0D2C" w:rsidP="00183481">
      <w:pPr>
        <w:pStyle w:val="Notedebasdepage"/>
        <w:jc w:val="both"/>
      </w:pPr>
      <w:r w:rsidRPr="00875F65">
        <w:rPr>
          <w:rStyle w:val="Appelnotedebasdep"/>
        </w:rPr>
        <w:footnoteRef/>
      </w:r>
      <w:r w:rsidRPr="00875F65">
        <w:t xml:space="preserve"> Cet </w:t>
      </w:r>
      <w:hyperlink r:id="rId8" w:history="1">
        <w:r w:rsidRPr="00875F65">
          <w:rPr>
            <w:rStyle w:val="Lienhypertexte"/>
            <w:color w:val="auto"/>
          </w:rPr>
          <w:t>article</w:t>
        </w:r>
      </w:hyperlink>
      <w:r w:rsidRPr="00875F65">
        <w:t xml:space="preserve"> par exemple souligne le lien entre envois de fonds et inclusion financière</w:t>
      </w:r>
    </w:p>
  </w:footnote>
  <w:footnote w:id="11">
    <w:p w14:paraId="0895D8C5" w14:textId="3C9A2267" w:rsidR="001C0D2C" w:rsidRPr="00031E35" w:rsidRDefault="001C0D2C" w:rsidP="004A773A">
      <w:pPr>
        <w:pStyle w:val="Notedebasdepage"/>
        <w:jc w:val="both"/>
        <w:rPr>
          <w:i/>
          <w:color w:val="ED7D31" w:themeColor="accent2"/>
          <w:lang w:val="en-US"/>
        </w:rPr>
      </w:pPr>
      <w:r w:rsidRPr="00875F65">
        <w:rPr>
          <w:rStyle w:val="Appelnotedebasdep"/>
        </w:rPr>
        <w:footnoteRef/>
      </w:r>
      <w:r w:rsidRPr="00875F65">
        <w:t xml:space="preserve"> Le passage du CVA à l’inclusion financière est loin d’être automatique. </w:t>
      </w:r>
      <w:r w:rsidRPr="00875F65">
        <w:rPr>
          <w:lang w:val="en-US"/>
        </w:rPr>
        <w:t xml:space="preserve">Comme le rappelle cet </w:t>
      </w:r>
      <w:hyperlink r:id="rId9" w:history="1">
        <w:r w:rsidRPr="00875F65">
          <w:rPr>
            <w:rStyle w:val="Lienhypertexte"/>
            <w:color w:val="auto"/>
            <w:lang w:val="en-US"/>
          </w:rPr>
          <w:t>article</w:t>
        </w:r>
      </w:hyperlink>
      <w:r w:rsidRPr="00875F65">
        <w:rPr>
          <w:lang w:val="en-US"/>
        </w:rPr>
        <w:t xml:space="preserve"> du CGAP, il y a différents obstacles à surmonter : </w:t>
      </w:r>
      <w:r w:rsidRPr="00875F65">
        <w:rPr>
          <w:i/>
          <w:lang w:val="en-US"/>
        </w:rPr>
        <w:t xml:space="preserve">(i) </w:t>
      </w:r>
      <w:r w:rsidRPr="00875F65">
        <w:rPr>
          <w:bCs/>
          <w:i/>
          <w:lang w:val="en-US"/>
        </w:rPr>
        <w:t>Specify financial inclusion as a programmatic objective ; (ii)</w:t>
      </w:r>
      <w:r w:rsidRPr="00875F65">
        <w:rPr>
          <w:i/>
          <w:lang w:val="en-US"/>
        </w:rPr>
        <w:t xml:space="preserve"> Take measurement seriously and grow the evidence base ; (iii) Partner with the right providers or help partners improve ; (iv) Address misperceptions about poor customers ; (v) Remove policy constraints</w:t>
      </w:r>
      <w:r w:rsidRPr="00875F65">
        <w:rPr>
          <w:lang w:val="en-US"/>
        </w:rPr>
        <w:t xml:space="preserve">. </w:t>
      </w:r>
    </w:p>
  </w:footnote>
  <w:footnote w:id="12">
    <w:p w14:paraId="5B9435CA" w14:textId="65DC2C3B" w:rsidR="001C0D2C" w:rsidRDefault="001C0D2C" w:rsidP="005364EE">
      <w:pPr>
        <w:pStyle w:val="Notedebasdepage"/>
        <w:jc w:val="both"/>
      </w:pPr>
      <w:r>
        <w:rPr>
          <w:rStyle w:val="Appelnotedebasdep"/>
        </w:rPr>
        <w:footnoteRef/>
      </w:r>
      <w:r>
        <w:t xml:space="preserve"> </w:t>
      </w:r>
      <w:r w:rsidRPr="00141887">
        <w:t>Cet appel à projets considère en priorité les flux transfrontaliers. Cependant, si l’ONG porteuse de projet étaye la similarité des enjeux et des obstacles (cf. section 2.2.) rencontrés par une population de migrant</w:t>
      </w:r>
      <w:r>
        <w:t>-e-</w:t>
      </w:r>
      <w:r w:rsidRPr="00141887">
        <w:t>s internes, par exemple des déplacé</w:t>
      </w:r>
      <w:r>
        <w:t>-e-</w:t>
      </w:r>
      <w:r w:rsidRPr="00141887">
        <w:t>s, avec laquelle elle souhaite travailler, la proposition pourra néanmoins être considérée.</w:t>
      </w:r>
    </w:p>
  </w:footnote>
  <w:footnote w:id="13">
    <w:p w14:paraId="1ECE4765" w14:textId="33D92E52" w:rsidR="001C0D2C" w:rsidRDefault="001C0D2C">
      <w:pPr>
        <w:pStyle w:val="Notedebasdepage"/>
      </w:pPr>
      <w:r>
        <w:rPr>
          <w:rStyle w:val="Appelnotedebasdep"/>
        </w:rPr>
        <w:footnoteRef/>
      </w:r>
      <w:r>
        <w:t xml:space="preserve"> Pays d’intervention de l’AFD disponibles au sein du plan d’orientation stratégique de l’AFD : </w:t>
      </w:r>
      <w:hyperlink r:id="rId10" w:history="1">
        <w:r w:rsidRPr="002C6F5C">
          <w:rPr>
            <w:rStyle w:val="Lienhypertexte"/>
            <w:rFonts w:ascii="Segoe UI" w:hAnsi="Segoe UI" w:cs="Segoe UI"/>
          </w:rPr>
          <w:t>https://www.afd.fr/sites/afd/files/2018-09-04-02-18/plan-orientation-strategique-afd-2018-2022.pdf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414"/>
    <w:multiLevelType w:val="hybridMultilevel"/>
    <w:tmpl w:val="A63605E8"/>
    <w:lvl w:ilvl="0" w:tplc="1548B2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364EB"/>
    <w:multiLevelType w:val="multilevel"/>
    <w:tmpl w:val="BFAA628A"/>
    <w:lvl w:ilvl="0">
      <w:start w:val="1"/>
      <w:numFmt w:val="bullet"/>
      <w:lvlText w:val=""/>
      <w:lvlJc w:val="left"/>
      <w:pPr>
        <w:ind w:left="360" w:hanging="360"/>
      </w:pPr>
      <w:rPr>
        <w:rFonts w:ascii="Symbol" w:hAnsi="Symbol" w:hint="default"/>
        <w:sz w:val="20"/>
      </w:rPr>
    </w:lvl>
    <w:lvl w:ilvl="1">
      <w:start w:val="1"/>
      <w:numFmt w:val="bullet"/>
      <w:lvlText w:val=""/>
      <w:lvlJc w:val="left"/>
      <w:pPr>
        <w:ind w:left="792" w:hanging="432"/>
      </w:pPr>
      <w:rPr>
        <w:rFonts w:ascii="Symbol" w:hAnsi="Symbol" w:hint="default"/>
        <w:color w:val="auto"/>
        <w:sz w:val="20"/>
      </w:rPr>
    </w:lvl>
    <w:lvl w:ilvl="2">
      <w:start w:val="1"/>
      <w:numFmt w:val="bullet"/>
      <w:lvlText w:val=""/>
      <w:lvlJc w:val="left"/>
      <w:pPr>
        <w:ind w:left="1071" w:hanging="504"/>
      </w:pPr>
      <w:rPr>
        <w:rFonts w:ascii="Symbol" w:hAnsi="Symbol" w:hint="default"/>
        <w:color w:val="auto"/>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 w15:restartNumberingAfterBreak="0">
    <w:nsid w:val="042F3E8E"/>
    <w:multiLevelType w:val="hybridMultilevel"/>
    <w:tmpl w:val="F76456C2"/>
    <w:lvl w:ilvl="0" w:tplc="92F425E4">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141C5"/>
    <w:multiLevelType w:val="hybridMultilevel"/>
    <w:tmpl w:val="D48C980A"/>
    <w:lvl w:ilvl="0" w:tplc="147079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A2C87"/>
    <w:multiLevelType w:val="multilevel"/>
    <w:tmpl w:val="CB02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CE1B4D"/>
    <w:multiLevelType w:val="multilevel"/>
    <w:tmpl w:val="41B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EB73CB"/>
    <w:multiLevelType w:val="hybridMultilevel"/>
    <w:tmpl w:val="FAC4D6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985C02"/>
    <w:multiLevelType w:val="hybridMultilevel"/>
    <w:tmpl w:val="26889FF0"/>
    <w:lvl w:ilvl="0" w:tplc="92F425E4">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B706EB2"/>
    <w:multiLevelType w:val="hybridMultilevel"/>
    <w:tmpl w:val="CB421618"/>
    <w:lvl w:ilvl="0" w:tplc="6FFEE97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C886EDD"/>
    <w:multiLevelType w:val="hybridMultilevel"/>
    <w:tmpl w:val="568A6D32"/>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511D52"/>
    <w:multiLevelType w:val="hybridMultilevel"/>
    <w:tmpl w:val="E702E618"/>
    <w:lvl w:ilvl="0" w:tplc="D5CCAB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86D0D"/>
    <w:multiLevelType w:val="multilevel"/>
    <w:tmpl w:val="D0F8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D35C1F"/>
    <w:multiLevelType w:val="hybridMultilevel"/>
    <w:tmpl w:val="CCB60326"/>
    <w:lvl w:ilvl="0" w:tplc="92F425E4">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837227A"/>
    <w:multiLevelType w:val="multilevel"/>
    <w:tmpl w:val="94C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E94F94"/>
    <w:multiLevelType w:val="hybridMultilevel"/>
    <w:tmpl w:val="317001F2"/>
    <w:lvl w:ilvl="0" w:tplc="6FFEE97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1CDA17BD"/>
    <w:multiLevelType w:val="multilevel"/>
    <w:tmpl w:val="B452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F81590"/>
    <w:multiLevelType w:val="hybridMultilevel"/>
    <w:tmpl w:val="247C2220"/>
    <w:lvl w:ilvl="0" w:tplc="6324BF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0E7646"/>
    <w:multiLevelType w:val="hybridMultilevel"/>
    <w:tmpl w:val="64B4A5B6"/>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8E0D84"/>
    <w:multiLevelType w:val="hybridMultilevel"/>
    <w:tmpl w:val="8A1E16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21A6D9B"/>
    <w:multiLevelType w:val="hybridMultilevel"/>
    <w:tmpl w:val="6F72FC82"/>
    <w:lvl w:ilvl="0" w:tplc="A5E6F99E">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23D307C"/>
    <w:multiLevelType w:val="hybridMultilevel"/>
    <w:tmpl w:val="D45C65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3D1687"/>
    <w:multiLevelType w:val="hybridMultilevel"/>
    <w:tmpl w:val="EBA0DE1C"/>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A6617C"/>
    <w:multiLevelType w:val="hybridMultilevel"/>
    <w:tmpl w:val="42BEF51E"/>
    <w:lvl w:ilvl="0" w:tplc="67A4957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FE6BD5"/>
    <w:multiLevelType w:val="hybridMultilevel"/>
    <w:tmpl w:val="47060CD6"/>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C654AA"/>
    <w:multiLevelType w:val="multilevel"/>
    <w:tmpl w:val="8CCC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1769CA"/>
    <w:multiLevelType w:val="multilevel"/>
    <w:tmpl w:val="890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165C22"/>
    <w:multiLevelType w:val="multilevel"/>
    <w:tmpl w:val="941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6934B5"/>
    <w:multiLevelType w:val="hybridMultilevel"/>
    <w:tmpl w:val="D4FC791E"/>
    <w:lvl w:ilvl="0" w:tplc="60FC3A0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1737E3"/>
    <w:multiLevelType w:val="hybridMultilevel"/>
    <w:tmpl w:val="784220F6"/>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F60843"/>
    <w:multiLevelType w:val="multilevel"/>
    <w:tmpl w:val="256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157367"/>
    <w:multiLevelType w:val="multilevel"/>
    <w:tmpl w:val="15A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A60C49"/>
    <w:multiLevelType w:val="hybridMultilevel"/>
    <w:tmpl w:val="1C8A494A"/>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D2738B"/>
    <w:multiLevelType w:val="hybridMultilevel"/>
    <w:tmpl w:val="C1B6F77E"/>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7E51FF"/>
    <w:multiLevelType w:val="multilevel"/>
    <w:tmpl w:val="C26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AA6A74"/>
    <w:multiLevelType w:val="multilevel"/>
    <w:tmpl w:val="70C6C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1C36FE"/>
    <w:multiLevelType w:val="multilevel"/>
    <w:tmpl w:val="DE3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C85F90"/>
    <w:multiLevelType w:val="hybridMultilevel"/>
    <w:tmpl w:val="C7627DC6"/>
    <w:lvl w:ilvl="0" w:tplc="8366481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FE5D4B"/>
    <w:multiLevelType w:val="multilevel"/>
    <w:tmpl w:val="928C7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E66A3D"/>
    <w:multiLevelType w:val="hybridMultilevel"/>
    <w:tmpl w:val="B3B244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286FC3"/>
    <w:multiLevelType w:val="multilevel"/>
    <w:tmpl w:val="EAB6F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DF432B"/>
    <w:multiLevelType w:val="hybridMultilevel"/>
    <w:tmpl w:val="002CF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164E79"/>
    <w:multiLevelType w:val="multilevel"/>
    <w:tmpl w:val="68D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673C43"/>
    <w:multiLevelType w:val="hybridMultilevel"/>
    <w:tmpl w:val="2E2802EA"/>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B7859A2"/>
    <w:multiLevelType w:val="multilevel"/>
    <w:tmpl w:val="DCB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9D1080"/>
    <w:multiLevelType w:val="hybridMultilevel"/>
    <w:tmpl w:val="FE64D440"/>
    <w:lvl w:ilvl="0" w:tplc="6B68D6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7A4422D"/>
    <w:multiLevelType w:val="hybridMultilevel"/>
    <w:tmpl w:val="22E64338"/>
    <w:lvl w:ilvl="0" w:tplc="92F425E4">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A7567DB"/>
    <w:multiLevelType w:val="hybridMultilevel"/>
    <w:tmpl w:val="24704ED0"/>
    <w:lvl w:ilvl="0" w:tplc="040C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50" w15:restartNumberingAfterBreak="0">
    <w:nsid w:val="6BF85C97"/>
    <w:multiLevelType w:val="multilevel"/>
    <w:tmpl w:val="9222B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A8265C"/>
    <w:multiLevelType w:val="hybridMultilevel"/>
    <w:tmpl w:val="BA3872DC"/>
    <w:lvl w:ilvl="0" w:tplc="040C000B">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52" w15:restartNumberingAfterBreak="0">
    <w:nsid w:val="6DB333B3"/>
    <w:multiLevelType w:val="multilevel"/>
    <w:tmpl w:val="8C8447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B34365"/>
    <w:multiLevelType w:val="hybridMultilevel"/>
    <w:tmpl w:val="EF7E6E42"/>
    <w:lvl w:ilvl="0" w:tplc="9CC84E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00079F1"/>
    <w:multiLevelType w:val="hybridMultilevel"/>
    <w:tmpl w:val="635AE7F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5" w15:restartNumberingAfterBreak="0">
    <w:nsid w:val="704140F0"/>
    <w:multiLevelType w:val="hybridMultilevel"/>
    <w:tmpl w:val="DDF6A016"/>
    <w:lvl w:ilvl="0" w:tplc="6FFEE9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72A62D70"/>
    <w:multiLevelType w:val="multilevel"/>
    <w:tmpl w:val="6450EE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DF1506"/>
    <w:multiLevelType w:val="hybridMultilevel"/>
    <w:tmpl w:val="F6049B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745C3123"/>
    <w:multiLevelType w:val="multilevel"/>
    <w:tmpl w:val="794C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913157"/>
    <w:multiLevelType w:val="hybridMultilevel"/>
    <w:tmpl w:val="AF64124A"/>
    <w:lvl w:ilvl="0" w:tplc="C19861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6D64C7D"/>
    <w:multiLevelType w:val="hybridMultilevel"/>
    <w:tmpl w:val="36D26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A3F0D4A"/>
    <w:multiLevelType w:val="hybridMultilevel"/>
    <w:tmpl w:val="19FA13AE"/>
    <w:lvl w:ilvl="0" w:tplc="6FFEE97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7BBD50EB"/>
    <w:multiLevelType w:val="hybridMultilevel"/>
    <w:tmpl w:val="13EE16BA"/>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C616E93"/>
    <w:multiLevelType w:val="hybridMultilevel"/>
    <w:tmpl w:val="90E4EE4E"/>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D0905B5"/>
    <w:multiLevelType w:val="multilevel"/>
    <w:tmpl w:val="223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6A7E9C"/>
    <w:multiLevelType w:val="multilevel"/>
    <w:tmpl w:val="0F0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7162CC"/>
    <w:multiLevelType w:val="hybridMultilevel"/>
    <w:tmpl w:val="9DC6658A"/>
    <w:lvl w:ilvl="0" w:tplc="C458EA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6"/>
  </w:num>
  <w:num w:numId="2">
    <w:abstractNumId w:val="39"/>
  </w:num>
  <w:num w:numId="3">
    <w:abstractNumId w:val="41"/>
  </w:num>
  <w:num w:numId="4">
    <w:abstractNumId w:val="14"/>
  </w:num>
  <w:num w:numId="5">
    <w:abstractNumId w:val="25"/>
  </w:num>
  <w:num w:numId="6">
    <w:abstractNumId w:val="35"/>
  </w:num>
  <w:num w:numId="7">
    <w:abstractNumId w:val="50"/>
  </w:num>
  <w:num w:numId="8">
    <w:abstractNumId w:val="58"/>
  </w:num>
  <w:num w:numId="9">
    <w:abstractNumId w:val="34"/>
  </w:num>
  <w:num w:numId="10">
    <w:abstractNumId w:val="12"/>
  </w:num>
  <w:num w:numId="11">
    <w:abstractNumId w:val="49"/>
  </w:num>
  <w:num w:numId="12">
    <w:abstractNumId w:val="59"/>
  </w:num>
  <w:num w:numId="13">
    <w:abstractNumId w:val="53"/>
  </w:num>
  <w:num w:numId="14">
    <w:abstractNumId w:val="20"/>
  </w:num>
  <w:num w:numId="15">
    <w:abstractNumId w:val="42"/>
  </w:num>
  <w:num w:numId="16">
    <w:abstractNumId w:val="13"/>
  </w:num>
  <w:num w:numId="17">
    <w:abstractNumId w:val="44"/>
  </w:num>
  <w:num w:numId="18">
    <w:abstractNumId w:val="27"/>
  </w:num>
  <w:num w:numId="19">
    <w:abstractNumId w:val="52"/>
  </w:num>
  <w:num w:numId="20">
    <w:abstractNumId w:val="4"/>
  </w:num>
  <w:num w:numId="21">
    <w:abstractNumId w:val="57"/>
  </w:num>
  <w:num w:numId="22">
    <w:abstractNumId w:val="64"/>
  </w:num>
  <w:num w:numId="23">
    <w:abstractNumId w:val="46"/>
  </w:num>
  <w:num w:numId="24">
    <w:abstractNumId w:val="7"/>
  </w:num>
  <w:num w:numId="25">
    <w:abstractNumId w:val="2"/>
  </w:num>
  <w:num w:numId="26">
    <w:abstractNumId w:val="48"/>
  </w:num>
  <w:num w:numId="27">
    <w:abstractNumId w:val="19"/>
  </w:num>
  <w:num w:numId="28">
    <w:abstractNumId w:val="40"/>
  </w:num>
  <w:num w:numId="29">
    <w:abstractNumId w:val="51"/>
  </w:num>
  <w:num w:numId="30">
    <w:abstractNumId w:val="6"/>
  </w:num>
  <w:num w:numId="31">
    <w:abstractNumId w:val="21"/>
  </w:num>
  <w:num w:numId="32">
    <w:abstractNumId w:val="33"/>
  </w:num>
  <w:num w:numId="33">
    <w:abstractNumId w:val="63"/>
  </w:num>
  <w:num w:numId="34">
    <w:abstractNumId w:val="60"/>
  </w:num>
  <w:num w:numId="35">
    <w:abstractNumId w:val="66"/>
  </w:num>
  <w:num w:numId="36">
    <w:abstractNumId w:val="29"/>
  </w:num>
  <w:num w:numId="37">
    <w:abstractNumId w:val="23"/>
  </w:num>
  <w:num w:numId="38">
    <w:abstractNumId w:val="11"/>
  </w:num>
  <w:num w:numId="39">
    <w:abstractNumId w:val="43"/>
  </w:num>
  <w:num w:numId="40">
    <w:abstractNumId w:val="54"/>
  </w:num>
  <w:num w:numId="41">
    <w:abstractNumId w:val="9"/>
  </w:num>
  <w:num w:numId="42">
    <w:abstractNumId w:val="37"/>
  </w:num>
  <w:num w:numId="43">
    <w:abstractNumId w:val="22"/>
  </w:num>
  <w:num w:numId="44">
    <w:abstractNumId w:val="1"/>
  </w:num>
  <w:num w:numId="45">
    <w:abstractNumId w:val="32"/>
  </w:num>
  <w:num w:numId="46">
    <w:abstractNumId w:val="38"/>
  </w:num>
  <w:num w:numId="47">
    <w:abstractNumId w:val="15"/>
  </w:num>
  <w:num w:numId="48">
    <w:abstractNumId w:val="62"/>
  </w:num>
  <w:num w:numId="49">
    <w:abstractNumId w:val="8"/>
  </w:num>
  <w:num w:numId="50">
    <w:abstractNumId w:val="61"/>
  </w:num>
  <w:num w:numId="51">
    <w:abstractNumId w:val="24"/>
  </w:num>
  <w:num w:numId="52">
    <w:abstractNumId w:val="0"/>
  </w:num>
  <w:num w:numId="53">
    <w:abstractNumId w:val="45"/>
  </w:num>
  <w:num w:numId="54">
    <w:abstractNumId w:val="18"/>
  </w:num>
  <w:num w:numId="55">
    <w:abstractNumId w:val="3"/>
  </w:num>
  <w:num w:numId="56">
    <w:abstractNumId w:val="10"/>
  </w:num>
  <w:num w:numId="57">
    <w:abstractNumId w:val="65"/>
  </w:num>
  <w:num w:numId="58">
    <w:abstractNumId w:val="55"/>
  </w:num>
  <w:num w:numId="59">
    <w:abstractNumId w:val="28"/>
  </w:num>
  <w:num w:numId="60">
    <w:abstractNumId w:val="47"/>
  </w:num>
  <w:num w:numId="61">
    <w:abstractNumId w:val="36"/>
  </w:num>
  <w:num w:numId="62">
    <w:abstractNumId w:val="31"/>
  </w:num>
  <w:num w:numId="63">
    <w:abstractNumId w:val="26"/>
  </w:num>
  <w:num w:numId="64">
    <w:abstractNumId w:val="30"/>
  </w:num>
  <w:num w:numId="65">
    <w:abstractNumId w:val="5"/>
  </w:num>
  <w:num w:numId="66">
    <w:abstractNumId w:val="16"/>
  </w:num>
  <w:num w:numId="6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ZA"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revisionView w:formatting="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AB"/>
    <w:rsid w:val="00002D49"/>
    <w:rsid w:val="000039CF"/>
    <w:rsid w:val="00004BC7"/>
    <w:rsid w:val="000079F1"/>
    <w:rsid w:val="000139B1"/>
    <w:rsid w:val="00026334"/>
    <w:rsid w:val="000269EE"/>
    <w:rsid w:val="00035FAE"/>
    <w:rsid w:val="00036702"/>
    <w:rsid w:val="00043689"/>
    <w:rsid w:val="000537A6"/>
    <w:rsid w:val="000545FF"/>
    <w:rsid w:val="000608B0"/>
    <w:rsid w:val="000667F8"/>
    <w:rsid w:val="00067640"/>
    <w:rsid w:val="00072C4E"/>
    <w:rsid w:val="0007540A"/>
    <w:rsid w:val="00077B14"/>
    <w:rsid w:val="000803FD"/>
    <w:rsid w:val="00086661"/>
    <w:rsid w:val="00092578"/>
    <w:rsid w:val="000A21A7"/>
    <w:rsid w:val="000C0594"/>
    <w:rsid w:val="000C05B8"/>
    <w:rsid w:val="000C56A4"/>
    <w:rsid w:val="000E14D8"/>
    <w:rsid w:val="00100055"/>
    <w:rsid w:val="00101646"/>
    <w:rsid w:val="001038A7"/>
    <w:rsid w:val="00103DE8"/>
    <w:rsid w:val="00104E1D"/>
    <w:rsid w:val="0011320E"/>
    <w:rsid w:val="00117D7A"/>
    <w:rsid w:val="001212A9"/>
    <w:rsid w:val="001273AB"/>
    <w:rsid w:val="00135B96"/>
    <w:rsid w:val="00136F91"/>
    <w:rsid w:val="00137AA2"/>
    <w:rsid w:val="00137C39"/>
    <w:rsid w:val="00141887"/>
    <w:rsid w:val="001565C7"/>
    <w:rsid w:val="0016109A"/>
    <w:rsid w:val="00161E5D"/>
    <w:rsid w:val="00174D2F"/>
    <w:rsid w:val="00176050"/>
    <w:rsid w:val="0017761E"/>
    <w:rsid w:val="001814E4"/>
    <w:rsid w:val="00183481"/>
    <w:rsid w:val="001A4705"/>
    <w:rsid w:val="001A5A85"/>
    <w:rsid w:val="001B2159"/>
    <w:rsid w:val="001B5E72"/>
    <w:rsid w:val="001C0D2C"/>
    <w:rsid w:val="001C140E"/>
    <w:rsid w:val="001C67EB"/>
    <w:rsid w:val="001C77CE"/>
    <w:rsid w:val="001D4033"/>
    <w:rsid w:val="001D65E6"/>
    <w:rsid w:val="001E1001"/>
    <w:rsid w:val="001E6DA2"/>
    <w:rsid w:val="001F24CE"/>
    <w:rsid w:val="001F419F"/>
    <w:rsid w:val="001F46A2"/>
    <w:rsid w:val="00220266"/>
    <w:rsid w:val="0025602B"/>
    <w:rsid w:val="00260E03"/>
    <w:rsid w:val="0026105D"/>
    <w:rsid w:val="00271310"/>
    <w:rsid w:val="00271F67"/>
    <w:rsid w:val="0027448C"/>
    <w:rsid w:val="002824EC"/>
    <w:rsid w:val="00285F34"/>
    <w:rsid w:val="002919D3"/>
    <w:rsid w:val="002C593C"/>
    <w:rsid w:val="002E3B11"/>
    <w:rsid w:val="002E6424"/>
    <w:rsid w:val="002F3850"/>
    <w:rsid w:val="00325358"/>
    <w:rsid w:val="00330B8B"/>
    <w:rsid w:val="00346367"/>
    <w:rsid w:val="003508D6"/>
    <w:rsid w:val="00351277"/>
    <w:rsid w:val="00357B3F"/>
    <w:rsid w:val="003602ED"/>
    <w:rsid w:val="00374CC7"/>
    <w:rsid w:val="0038060A"/>
    <w:rsid w:val="00385110"/>
    <w:rsid w:val="003978F1"/>
    <w:rsid w:val="003A376D"/>
    <w:rsid w:val="003B5418"/>
    <w:rsid w:val="003B60E2"/>
    <w:rsid w:val="003D110A"/>
    <w:rsid w:val="003D67B7"/>
    <w:rsid w:val="003E572B"/>
    <w:rsid w:val="003F226A"/>
    <w:rsid w:val="003F6047"/>
    <w:rsid w:val="003F728B"/>
    <w:rsid w:val="00400244"/>
    <w:rsid w:val="00402703"/>
    <w:rsid w:val="0040512C"/>
    <w:rsid w:val="00410BF2"/>
    <w:rsid w:val="004126AB"/>
    <w:rsid w:val="00424780"/>
    <w:rsid w:val="0042555E"/>
    <w:rsid w:val="004273AE"/>
    <w:rsid w:val="0045537B"/>
    <w:rsid w:val="00462E87"/>
    <w:rsid w:val="00477F35"/>
    <w:rsid w:val="00480C75"/>
    <w:rsid w:val="004826D9"/>
    <w:rsid w:val="00483364"/>
    <w:rsid w:val="00485DFA"/>
    <w:rsid w:val="0048703E"/>
    <w:rsid w:val="0049330E"/>
    <w:rsid w:val="004A5E02"/>
    <w:rsid w:val="004A773A"/>
    <w:rsid w:val="004B313E"/>
    <w:rsid w:val="004B7884"/>
    <w:rsid w:val="004C22F2"/>
    <w:rsid w:val="004E52F9"/>
    <w:rsid w:val="004F10C5"/>
    <w:rsid w:val="004F5C02"/>
    <w:rsid w:val="00521CE2"/>
    <w:rsid w:val="00523CC6"/>
    <w:rsid w:val="005364EE"/>
    <w:rsid w:val="00543C5D"/>
    <w:rsid w:val="0055434B"/>
    <w:rsid w:val="00565A83"/>
    <w:rsid w:val="00576334"/>
    <w:rsid w:val="00582E41"/>
    <w:rsid w:val="005851F6"/>
    <w:rsid w:val="00586B02"/>
    <w:rsid w:val="00586F71"/>
    <w:rsid w:val="005A7A19"/>
    <w:rsid w:val="005B6519"/>
    <w:rsid w:val="005D0B43"/>
    <w:rsid w:val="006037A8"/>
    <w:rsid w:val="00613944"/>
    <w:rsid w:val="006153D6"/>
    <w:rsid w:val="00630240"/>
    <w:rsid w:val="006420D2"/>
    <w:rsid w:val="00667471"/>
    <w:rsid w:val="00670FCB"/>
    <w:rsid w:val="00695CD1"/>
    <w:rsid w:val="006A2F24"/>
    <w:rsid w:val="006B7B67"/>
    <w:rsid w:val="006C1B07"/>
    <w:rsid w:val="006C7A73"/>
    <w:rsid w:val="006C7E2F"/>
    <w:rsid w:val="006D4E5F"/>
    <w:rsid w:val="006D63C7"/>
    <w:rsid w:val="006E4D70"/>
    <w:rsid w:val="0071027C"/>
    <w:rsid w:val="00711B04"/>
    <w:rsid w:val="0071477D"/>
    <w:rsid w:val="0071537A"/>
    <w:rsid w:val="00715EA9"/>
    <w:rsid w:val="00724D1F"/>
    <w:rsid w:val="00731B55"/>
    <w:rsid w:val="007332DA"/>
    <w:rsid w:val="00733ABD"/>
    <w:rsid w:val="00745DD0"/>
    <w:rsid w:val="00747BA0"/>
    <w:rsid w:val="00763ABA"/>
    <w:rsid w:val="00770184"/>
    <w:rsid w:val="00783930"/>
    <w:rsid w:val="007A6BB1"/>
    <w:rsid w:val="007C4AD2"/>
    <w:rsid w:val="007C747A"/>
    <w:rsid w:val="007C7980"/>
    <w:rsid w:val="007D734C"/>
    <w:rsid w:val="007E0CE5"/>
    <w:rsid w:val="007F718E"/>
    <w:rsid w:val="00804B2E"/>
    <w:rsid w:val="008056A4"/>
    <w:rsid w:val="008151D8"/>
    <w:rsid w:val="00822D98"/>
    <w:rsid w:val="008317E7"/>
    <w:rsid w:val="008319F0"/>
    <w:rsid w:val="00832D23"/>
    <w:rsid w:val="0083316C"/>
    <w:rsid w:val="00836858"/>
    <w:rsid w:val="0084204D"/>
    <w:rsid w:val="008420A3"/>
    <w:rsid w:val="00850424"/>
    <w:rsid w:val="0085489B"/>
    <w:rsid w:val="0086380C"/>
    <w:rsid w:val="00865997"/>
    <w:rsid w:val="008677E3"/>
    <w:rsid w:val="00875F65"/>
    <w:rsid w:val="008A46F6"/>
    <w:rsid w:val="008B1A0D"/>
    <w:rsid w:val="008B4973"/>
    <w:rsid w:val="008B6AE9"/>
    <w:rsid w:val="008D17B8"/>
    <w:rsid w:val="008D75A7"/>
    <w:rsid w:val="008E303F"/>
    <w:rsid w:val="008E7950"/>
    <w:rsid w:val="008F6CD1"/>
    <w:rsid w:val="009037F8"/>
    <w:rsid w:val="00903EB3"/>
    <w:rsid w:val="00910B0E"/>
    <w:rsid w:val="00914447"/>
    <w:rsid w:val="00925F52"/>
    <w:rsid w:val="00926E80"/>
    <w:rsid w:val="00931434"/>
    <w:rsid w:val="00941592"/>
    <w:rsid w:val="0095034D"/>
    <w:rsid w:val="00952CA1"/>
    <w:rsid w:val="0095779B"/>
    <w:rsid w:val="00960631"/>
    <w:rsid w:val="00964AFE"/>
    <w:rsid w:val="00965D55"/>
    <w:rsid w:val="00976D77"/>
    <w:rsid w:val="009772B6"/>
    <w:rsid w:val="00984671"/>
    <w:rsid w:val="0098657C"/>
    <w:rsid w:val="009866C7"/>
    <w:rsid w:val="009964E6"/>
    <w:rsid w:val="00997C62"/>
    <w:rsid w:val="009C049D"/>
    <w:rsid w:val="009C2089"/>
    <w:rsid w:val="009C58D4"/>
    <w:rsid w:val="009D0992"/>
    <w:rsid w:val="009E0B01"/>
    <w:rsid w:val="009F096F"/>
    <w:rsid w:val="00A07426"/>
    <w:rsid w:val="00A10A07"/>
    <w:rsid w:val="00A12C84"/>
    <w:rsid w:val="00A17B39"/>
    <w:rsid w:val="00A252B3"/>
    <w:rsid w:val="00A45706"/>
    <w:rsid w:val="00A47E47"/>
    <w:rsid w:val="00A6527B"/>
    <w:rsid w:val="00A668D7"/>
    <w:rsid w:val="00A72697"/>
    <w:rsid w:val="00A75C0F"/>
    <w:rsid w:val="00A8777C"/>
    <w:rsid w:val="00A87F73"/>
    <w:rsid w:val="00A9041A"/>
    <w:rsid w:val="00A94392"/>
    <w:rsid w:val="00AB0563"/>
    <w:rsid w:val="00AB1C4E"/>
    <w:rsid w:val="00AB224B"/>
    <w:rsid w:val="00AB6665"/>
    <w:rsid w:val="00AC0C9A"/>
    <w:rsid w:val="00AC30BE"/>
    <w:rsid w:val="00AD2DE9"/>
    <w:rsid w:val="00AD310C"/>
    <w:rsid w:val="00AD316F"/>
    <w:rsid w:val="00AE1EDB"/>
    <w:rsid w:val="00AF691A"/>
    <w:rsid w:val="00B03BED"/>
    <w:rsid w:val="00B03D59"/>
    <w:rsid w:val="00B14A41"/>
    <w:rsid w:val="00B219EC"/>
    <w:rsid w:val="00B25A01"/>
    <w:rsid w:val="00B25E34"/>
    <w:rsid w:val="00B30031"/>
    <w:rsid w:val="00B37D36"/>
    <w:rsid w:val="00B478F1"/>
    <w:rsid w:val="00B73A28"/>
    <w:rsid w:val="00B82ACF"/>
    <w:rsid w:val="00B862BD"/>
    <w:rsid w:val="00B92C09"/>
    <w:rsid w:val="00B95B86"/>
    <w:rsid w:val="00B976AB"/>
    <w:rsid w:val="00BA0CBB"/>
    <w:rsid w:val="00BA13D3"/>
    <w:rsid w:val="00BA18A1"/>
    <w:rsid w:val="00BB235C"/>
    <w:rsid w:val="00BB3172"/>
    <w:rsid w:val="00BB3A6E"/>
    <w:rsid w:val="00BB58FF"/>
    <w:rsid w:val="00BC0B96"/>
    <w:rsid w:val="00BD0483"/>
    <w:rsid w:val="00BD059D"/>
    <w:rsid w:val="00BD3ADB"/>
    <w:rsid w:val="00BD4F72"/>
    <w:rsid w:val="00BE271A"/>
    <w:rsid w:val="00BE748D"/>
    <w:rsid w:val="00BF09B9"/>
    <w:rsid w:val="00BF55D4"/>
    <w:rsid w:val="00C00239"/>
    <w:rsid w:val="00C00886"/>
    <w:rsid w:val="00C04B24"/>
    <w:rsid w:val="00C058D7"/>
    <w:rsid w:val="00C06B78"/>
    <w:rsid w:val="00C1456C"/>
    <w:rsid w:val="00C30AB0"/>
    <w:rsid w:val="00C51ADA"/>
    <w:rsid w:val="00C534C0"/>
    <w:rsid w:val="00C607E2"/>
    <w:rsid w:val="00C62BC4"/>
    <w:rsid w:val="00C64E84"/>
    <w:rsid w:val="00C74D17"/>
    <w:rsid w:val="00C75D8C"/>
    <w:rsid w:val="00C81657"/>
    <w:rsid w:val="00C82495"/>
    <w:rsid w:val="00C82A5C"/>
    <w:rsid w:val="00C864F9"/>
    <w:rsid w:val="00C903E5"/>
    <w:rsid w:val="00C91D07"/>
    <w:rsid w:val="00C921F3"/>
    <w:rsid w:val="00CA3FF4"/>
    <w:rsid w:val="00CB7765"/>
    <w:rsid w:val="00CD6C79"/>
    <w:rsid w:val="00CE5745"/>
    <w:rsid w:val="00D00B61"/>
    <w:rsid w:val="00D1683C"/>
    <w:rsid w:val="00D35E9F"/>
    <w:rsid w:val="00D62D44"/>
    <w:rsid w:val="00D64E1B"/>
    <w:rsid w:val="00D76854"/>
    <w:rsid w:val="00D77FBA"/>
    <w:rsid w:val="00D9267B"/>
    <w:rsid w:val="00D936D4"/>
    <w:rsid w:val="00DA1526"/>
    <w:rsid w:val="00DB0759"/>
    <w:rsid w:val="00DB5084"/>
    <w:rsid w:val="00DE2692"/>
    <w:rsid w:val="00DE644A"/>
    <w:rsid w:val="00DF5B43"/>
    <w:rsid w:val="00DF5D92"/>
    <w:rsid w:val="00E00232"/>
    <w:rsid w:val="00E3190E"/>
    <w:rsid w:val="00E40835"/>
    <w:rsid w:val="00E44439"/>
    <w:rsid w:val="00E51676"/>
    <w:rsid w:val="00E51882"/>
    <w:rsid w:val="00E53355"/>
    <w:rsid w:val="00E74E4A"/>
    <w:rsid w:val="00E82F56"/>
    <w:rsid w:val="00E908BA"/>
    <w:rsid w:val="00E966DD"/>
    <w:rsid w:val="00EA254C"/>
    <w:rsid w:val="00EA277A"/>
    <w:rsid w:val="00EB2551"/>
    <w:rsid w:val="00EB511C"/>
    <w:rsid w:val="00EB5A4C"/>
    <w:rsid w:val="00EC1E4A"/>
    <w:rsid w:val="00EC3D51"/>
    <w:rsid w:val="00EC76B0"/>
    <w:rsid w:val="00ED4CC4"/>
    <w:rsid w:val="00ED6A32"/>
    <w:rsid w:val="00EE0400"/>
    <w:rsid w:val="00EE11C7"/>
    <w:rsid w:val="00EE28CB"/>
    <w:rsid w:val="00EE37CE"/>
    <w:rsid w:val="00EE68FC"/>
    <w:rsid w:val="00F02EC0"/>
    <w:rsid w:val="00F02FAC"/>
    <w:rsid w:val="00F152E9"/>
    <w:rsid w:val="00F177EC"/>
    <w:rsid w:val="00F2072C"/>
    <w:rsid w:val="00F273C6"/>
    <w:rsid w:val="00F336F0"/>
    <w:rsid w:val="00F36CCD"/>
    <w:rsid w:val="00F3770A"/>
    <w:rsid w:val="00F417AF"/>
    <w:rsid w:val="00F50982"/>
    <w:rsid w:val="00F56D3A"/>
    <w:rsid w:val="00F9024D"/>
    <w:rsid w:val="00F9027B"/>
    <w:rsid w:val="00F94EAD"/>
    <w:rsid w:val="00FA258D"/>
    <w:rsid w:val="00FA7001"/>
    <w:rsid w:val="00FC241F"/>
    <w:rsid w:val="00FE498E"/>
    <w:rsid w:val="00FF2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EF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AB"/>
  </w:style>
  <w:style w:type="paragraph" w:styleId="Titre1">
    <w:name w:val="heading 1"/>
    <w:basedOn w:val="Normal"/>
    <w:next w:val="Normal"/>
    <w:link w:val="Titre1Car"/>
    <w:uiPriority w:val="9"/>
    <w:qFormat/>
    <w:rsid w:val="001273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273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273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73A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1273A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1273AB"/>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1273AB"/>
    <w:rPr>
      <w:color w:val="0000FF"/>
      <w:u w:val="single"/>
    </w:rPr>
  </w:style>
  <w:style w:type="paragraph" w:styleId="Paragraphedeliste">
    <w:name w:val="List Paragraph"/>
    <w:aliases w:val="Listes,List Paragraph,Liste à puce - SC,Paragraphe de liste11,Premier,titre 3"/>
    <w:basedOn w:val="Normal"/>
    <w:link w:val="ParagraphedelisteCar"/>
    <w:uiPriority w:val="34"/>
    <w:qFormat/>
    <w:rsid w:val="001273AB"/>
    <w:pPr>
      <w:ind w:left="720"/>
      <w:contextualSpacing/>
    </w:pPr>
  </w:style>
  <w:style w:type="paragraph" w:styleId="Notedebasdepage">
    <w:name w:val="footnote text"/>
    <w:basedOn w:val="Normal"/>
    <w:link w:val="NotedebasdepageCar"/>
    <w:uiPriority w:val="99"/>
    <w:semiHidden/>
    <w:unhideWhenUsed/>
    <w:rsid w:val="001273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73AB"/>
    <w:rPr>
      <w:sz w:val="20"/>
      <w:szCs w:val="20"/>
    </w:rPr>
  </w:style>
  <w:style w:type="character" w:styleId="Appelnotedebasdep">
    <w:name w:val="footnote reference"/>
    <w:basedOn w:val="Policepardfaut"/>
    <w:uiPriority w:val="99"/>
    <w:semiHidden/>
    <w:unhideWhenUsed/>
    <w:rsid w:val="001273AB"/>
    <w:rPr>
      <w:vertAlign w:val="superscript"/>
    </w:rPr>
  </w:style>
  <w:style w:type="table" w:styleId="Grilledutableau">
    <w:name w:val="Table Grid"/>
    <w:basedOn w:val="TableauNormal"/>
    <w:uiPriority w:val="39"/>
    <w:rsid w:val="0012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3A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D67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919D3"/>
    <w:rPr>
      <w:color w:val="954F72" w:themeColor="followedHyperlink"/>
      <w:u w:val="single"/>
    </w:rPr>
  </w:style>
  <w:style w:type="character" w:styleId="Marquedecommentaire">
    <w:name w:val="annotation reference"/>
    <w:basedOn w:val="Policepardfaut"/>
    <w:uiPriority w:val="99"/>
    <w:semiHidden/>
    <w:unhideWhenUsed/>
    <w:rsid w:val="0026105D"/>
    <w:rPr>
      <w:sz w:val="16"/>
      <w:szCs w:val="16"/>
    </w:rPr>
  </w:style>
  <w:style w:type="paragraph" w:styleId="Commentaire">
    <w:name w:val="annotation text"/>
    <w:basedOn w:val="Normal"/>
    <w:link w:val="CommentaireCar"/>
    <w:uiPriority w:val="99"/>
    <w:unhideWhenUsed/>
    <w:rsid w:val="0026105D"/>
    <w:pPr>
      <w:spacing w:line="240" w:lineRule="auto"/>
    </w:pPr>
    <w:rPr>
      <w:sz w:val="20"/>
      <w:szCs w:val="20"/>
    </w:rPr>
  </w:style>
  <w:style w:type="character" w:customStyle="1" w:styleId="CommentaireCar">
    <w:name w:val="Commentaire Car"/>
    <w:basedOn w:val="Policepardfaut"/>
    <w:link w:val="Commentaire"/>
    <w:uiPriority w:val="99"/>
    <w:rsid w:val="0026105D"/>
    <w:rPr>
      <w:sz w:val="20"/>
      <w:szCs w:val="20"/>
    </w:rPr>
  </w:style>
  <w:style w:type="paragraph" w:styleId="Objetducommentaire">
    <w:name w:val="annotation subject"/>
    <w:basedOn w:val="Commentaire"/>
    <w:next w:val="Commentaire"/>
    <w:link w:val="ObjetducommentaireCar"/>
    <w:uiPriority w:val="99"/>
    <w:semiHidden/>
    <w:unhideWhenUsed/>
    <w:rsid w:val="0026105D"/>
    <w:rPr>
      <w:b/>
      <w:bCs/>
    </w:rPr>
  </w:style>
  <w:style w:type="character" w:customStyle="1" w:styleId="ObjetducommentaireCar">
    <w:name w:val="Objet du commentaire Car"/>
    <w:basedOn w:val="CommentaireCar"/>
    <w:link w:val="Objetducommentaire"/>
    <w:uiPriority w:val="99"/>
    <w:semiHidden/>
    <w:rsid w:val="0026105D"/>
    <w:rPr>
      <w:b/>
      <w:bCs/>
      <w:sz w:val="20"/>
      <w:szCs w:val="20"/>
    </w:rPr>
  </w:style>
  <w:style w:type="paragraph" w:styleId="Textedebulles">
    <w:name w:val="Balloon Text"/>
    <w:basedOn w:val="Normal"/>
    <w:link w:val="TextedebullesCar"/>
    <w:uiPriority w:val="99"/>
    <w:semiHidden/>
    <w:unhideWhenUsed/>
    <w:rsid w:val="002610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105D"/>
    <w:rPr>
      <w:rFonts w:ascii="Segoe UI" w:hAnsi="Segoe UI" w:cs="Segoe UI"/>
      <w:sz w:val="18"/>
      <w:szCs w:val="18"/>
    </w:rPr>
  </w:style>
  <w:style w:type="paragraph" w:styleId="En-tte">
    <w:name w:val="header"/>
    <w:basedOn w:val="Normal"/>
    <w:link w:val="En-tteCar"/>
    <w:uiPriority w:val="99"/>
    <w:unhideWhenUsed/>
    <w:rsid w:val="00667471"/>
    <w:pPr>
      <w:tabs>
        <w:tab w:val="center" w:pos="4536"/>
        <w:tab w:val="right" w:pos="9072"/>
      </w:tabs>
      <w:spacing w:after="0" w:line="240" w:lineRule="auto"/>
    </w:pPr>
  </w:style>
  <w:style w:type="character" w:customStyle="1" w:styleId="En-tteCar">
    <w:name w:val="En-tête Car"/>
    <w:basedOn w:val="Policepardfaut"/>
    <w:link w:val="En-tte"/>
    <w:uiPriority w:val="99"/>
    <w:rsid w:val="00667471"/>
  </w:style>
  <w:style w:type="paragraph" w:styleId="Pieddepage">
    <w:name w:val="footer"/>
    <w:basedOn w:val="Normal"/>
    <w:link w:val="PieddepageCar"/>
    <w:uiPriority w:val="99"/>
    <w:unhideWhenUsed/>
    <w:rsid w:val="006674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71"/>
  </w:style>
  <w:style w:type="paragraph" w:styleId="TM1">
    <w:name w:val="toc 1"/>
    <w:basedOn w:val="Normal"/>
    <w:next w:val="Normal"/>
    <w:autoRedefine/>
    <w:uiPriority w:val="39"/>
    <w:unhideWhenUsed/>
    <w:rsid w:val="003E572B"/>
    <w:pPr>
      <w:widowControl w:val="0"/>
      <w:tabs>
        <w:tab w:val="left" w:pos="400"/>
        <w:tab w:val="right" w:leader="dot" w:pos="8540"/>
      </w:tabs>
      <w:autoSpaceDE w:val="0"/>
      <w:autoSpaceDN w:val="0"/>
      <w:spacing w:after="100" w:line="240" w:lineRule="auto"/>
    </w:pPr>
    <w:rPr>
      <w:rFonts w:ascii="Century Gothic" w:eastAsia="Century Gothic" w:hAnsi="Century Gothic" w:cs="Century Gothic"/>
      <w:b/>
      <w:noProof/>
      <w:color w:val="4FC3B3"/>
      <w:spacing w:val="-1"/>
      <w:sz w:val="20"/>
    </w:rPr>
  </w:style>
  <w:style w:type="paragraph" w:styleId="TM2">
    <w:name w:val="toc 2"/>
    <w:basedOn w:val="Normal"/>
    <w:next w:val="Normal"/>
    <w:autoRedefine/>
    <w:uiPriority w:val="39"/>
    <w:unhideWhenUsed/>
    <w:rsid w:val="003E572B"/>
    <w:pPr>
      <w:widowControl w:val="0"/>
      <w:autoSpaceDE w:val="0"/>
      <w:autoSpaceDN w:val="0"/>
      <w:spacing w:after="100" w:line="240" w:lineRule="auto"/>
      <w:ind w:left="200"/>
    </w:pPr>
    <w:rPr>
      <w:rFonts w:ascii="Century Gothic" w:eastAsia="Century Gothic" w:hAnsi="Century Gothic" w:cs="Century Gothic"/>
      <w:sz w:val="20"/>
    </w:rPr>
  </w:style>
  <w:style w:type="paragraph" w:styleId="TM3">
    <w:name w:val="toc 3"/>
    <w:basedOn w:val="Normal"/>
    <w:next w:val="Normal"/>
    <w:autoRedefine/>
    <w:uiPriority w:val="39"/>
    <w:unhideWhenUsed/>
    <w:rsid w:val="003E572B"/>
    <w:pPr>
      <w:widowControl w:val="0"/>
      <w:tabs>
        <w:tab w:val="right" w:leader="dot" w:pos="8540"/>
      </w:tabs>
      <w:autoSpaceDE w:val="0"/>
      <w:autoSpaceDN w:val="0"/>
      <w:spacing w:after="100" w:line="240" w:lineRule="auto"/>
      <w:ind w:left="400"/>
    </w:pPr>
    <w:rPr>
      <w:rFonts w:ascii="Century Gothic" w:eastAsia="Century Gothic" w:hAnsi="Century Gothic" w:cs="Century Gothic"/>
      <w:sz w:val="20"/>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B92C09"/>
  </w:style>
  <w:style w:type="paragraph" w:styleId="Rvision">
    <w:name w:val="Revision"/>
    <w:hidden/>
    <w:uiPriority w:val="99"/>
    <w:semiHidden/>
    <w:rsid w:val="00183481"/>
    <w:pPr>
      <w:spacing w:after="0" w:line="240" w:lineRule="auto"/>
    </w:pPr>
  </w:style>
  <w:style w:type="character" w:customStyle="1" w:styleId="UnresolvedMention">
    <w:name w:val="Unresolved Mention"/>
    <w:basedOn w:val="Policepardfaut"/>
    <w:uiPriority w:val="99"/>
    <w:semiHidden/>
    <w:unhideWhenUsed/>
    <w:rsid w:val="00DE644A"/>
    <w:rPr>
      <w:color w:val="605E5C"/>
      <w:shd w:val="clear" w:color="auto" w:fill="E1DFDD"/>
    </w:rPr>
  </w:style>
  <w:style w:type="paragraph" w:styleId="En-ttedetabledesmatires">
    <w:name w:val="TOC Heading"/>
    <w:basedOn w:val="Titre1"/>
    <w:next w:val="Normal"/>
    <w:uiPriority w:val="39"/>
    <w:unhideWhenUsed/>
    <w:qFormat/>
    <w:rsid w:val="00BB3A6E"/>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673">
      <w:bodyDiv w:val="1"/>
      <w:marLeft w:val="0"/>
      <w:marRight w:val="0"/>
      <w:marTop w:val="0"/>
      <w:marBottom w:val="0"/>
      <w:divBdr>
        <w:top w:val="none" w:sz="0" w:space="0" w:color="auto"/>
        <w:left w:val="none" w:sz="0" w:space="0" w:color="auto"/>
        <w:bottom w:val="none" w:sz="0" w:space="0" w:color="auto"/>
        <w:right w:val="none" w:sz="0" w:space="0" w:color="auto"/>
      </w:divBdr>
    </w:div>
    <w:div w:id="91292167">
      <w:bodyDiv w:val="1"/>
      <w:marLeft w:val="0"/>
      <w:marRight w:val="0"/>
      <w:marTop w:val="0"/>
      <w:marBottom w:val="0"/>
      <w:divBdr>
        <w:top w:val="none" w:sz="0" w:space="0" w:color="auto"/>
        <w:left w:val="none" w:sz="0" w:space="0" w:color="auto"/>
        <w:bottom w:val="none" w:sz="0" w:space="0" w:color="auto"/>
        <w:right w:val="none" w:sz="0" w:space="0" w:color="auto"/>
      </w:divBdr>
    </w:div>
    <w:div w:id="133371500">
      <w:bodyDiv w:val="1"/>
      <w:marLeft w:val="0"/>
      <w:marRight w:val="0"/>
      <w:marTop w:val="0"/>
      <w:marBottom w:val="0"/>
      <w:divBdr>
        <w:top w:val="none" w:sz="0" w:space="0" w:color="auto"/>
        <w:left w:val="none" w:sz="0" w:space="0" w:color="auto"/>
        <w:bottom w:val="none" w:sz="0" w:space="0" w:color="auto"/>
        <w:right w:val="none" w:sz="0" w:space="0" w:color="auto"/>
      </w:divBdr>
    </w:div>
    <w:div w:id="218899549">
      <w:bodyDiv w:val="1"/>
      <w:marLeft w:val="0"/>
      <w:marRight w:val="0"/>
      <w:marTop w:val="0"/>
      <w:marBottom w:val="0"/>
      <w:divBdr>
        <w:top w:val="none" w:sz="0" w:space="0" w:color="auto"/>
        <w:left w:val="none" w:sz="0" w:space="0" w:color="auto"/>
        <w:bottom w:val="none" w:sz="0" w:space="0" w:color="auto"/>
        <w:right w:val="none" w:sz="0" w:space="0" w:color="auto"/>
      </w:divBdr>
    </w:div>
    <w:div w:id="248656590">
      <w:bodyDiv w:val="1"/>
      <w:marLeft w:val="0"/>
      <w:marRight w:val="0"/>
      <w:marTop w:val="0"/>
      <w:marBottom w:val="0"/>
      <w:divBdr>
        <w:top w:val="none" w:sz="0" w:space="0" w:color="auto"/>
        <w:left w:val="none" w:sz="0" w:space="0" w:color="auto"/>
        <w:bottom w:val="none" w:sz="0" w:space="0" w:color="auto"/>
        <w:right w:val="none" w:sz="0" w:space="0" w:color="auto"/>
      </w:divBdr>
    </w:div>
    <w:div w:id="251360243">
      <w:bodyDiv w:val="1"/>
      <w:marLeft w:val="0"/>
      <w:marRight w:val="0"/>
      <w:marTop w:val="0"/>
      <w:marBottom w:val="0"/>
      <w:divBdr>
        <w:top w:val="none" w:sz="0" w:space="0" w:color="auto"/>
        <w:left w:val="none" w:sz="0" w:space="0" w:color="auto"/>
        <w:bottom w:val="none" w:sz="0" w:space="0" w:color="auto"/>
        <w:right w:val="none" w:sz="0" w:space="0" w:color="auto"/>
      </w:divBdr>
      <w:divsChild>
        <w:div w:id="202596482">
          <w:marLeft w:val="0"/>
          <w:marRight w:val="0"/>
          <w:marTop w:val="0"/>
          <w:marBottom w:val="0"/>
          <w:divBdr>
            <w:top w:val="none" w:sz="0" w:space="0" w:color="auto"/>
            <w:left w:val="none" w:sz="0" w:space="0" w:color="auto"/>
            <w:bottom w:val="none" w:sz="0" w:space="0" w:color="auto"/>
            <w:right w:val="none" w:sz="0" w:space="0" w:color="auto"/>
          </w:divBdr>
        </w:div>
      </w:divsChild>
    </w:div>
    <w:div w:id="543449726">
      <w:bodyDiv w:val="1"/>
      <w:marLeft w:val="0"/>
      <w:marRight w:val="0"/>
      <w:marTop w:val="0"/>
      <w:marBottom w:val="0"/>
      <w:divBdr>
        <w:top w:val="none" w:sz="0" w:space="0" w:color="auto"/>
        <w:left w:val="none" w:sz="0" w:space="0" w:color="auto"/>
        <w:bottom w:val="none" w:sz="0" w:space="0" w:color="auto"/>
        <w:right w:val="none" w:sz="0" w:space="0" w:color="auto"/>
      </w:divBdr>
    </w:div>
    <w:div w:id="589630077">
      <w:bodyDiv w:val="1"/>
      <w:marLeft w:val="0"/>
      <w:marRight w:val="0"/>
      <w:marTop w:val="0"/>
      <w:marBottom w:val="0"/>
      <w:divBdr>
        <w:top w:val="none" w:sz="0" w:space="0" w:color="auto"/>
        <w:left w:val="none" w:sz="0" w:space="0" w:color="auto"/>
        <w:bottom w:val="none" w:sz="0" w:space="0" w:color="auto"/>
        <w:right w:val="none" w:sz="0" w:space="0" w:color="auto"/>
      </w:divBdr>
    </w:div>
    <w:div w:id="665324303">
      <w:bodyDiv w:val="1"/>
      <w:marLeft w:val="0"/>
      <w:marRight w:val="0"/>
      <w:marTop w:val="0"/>
      <w:marBottom w:val="0"/>
      <w:divBdr>
        <w:top w:val="none" w:sz="0" w:space="0" w:color="auto"/>
        <w:left w:val="none" w:sz="0" w:space="0" w:color="auto"/>
        <w:bottom w:val="none" w:sz="0" w:space="0" w:color="auto"/>
        <w:right w:val="none" w:sz="0" w:space="0" w:color="auto"/>
      </w:divBdr>
    </w:div>
    <w:div w:id="742144696">
      <w:bodyDiv w:val="1"/>
      <w:marLeft w:val="0"/>
      <w:marRight w:val="0"/>
      <w:marTop w:val="0"/>
      <w:marBottom w:val="0"/>
      <w:divBdr>
        <w:top w:val="none" w:sz="0" w:space="0" w:color="auto"/>
        <w:left w:val="none" w:sz="0" w:space="0" w:color="auto"/>
        <w:bottom w:val="none" w:sz="0" w:space="0" w:color="auto"/>
        <w:right w:val="none" w:sz="0" w:space="0" w:color="auto"/>
      </w:divBdr>
    </w:div>
    <w:div w:id="762148009">
      <w:bodyDiv w:val="1"/>
      <w:marLeft w:val="0"/>
      <w:marRight w:val="0"/>
      <w:marTop w:val="0"/>
      <w:marBottom w:val="0"/>
      <w:divBdr>
        <w:top w:val="none" w:sz="0" w:space="0" w:color="auto"/>
        <w:left w:val="none" w:sz="0" w:space="0" w:color="auto"/>
        <w:bottom w:val="none" w:sz="0" w:space="0" w:color="auto"/>
        <w:right w:val="none" w:sz="0" w:space="0" w:color="auto"/>
      </w:divBdr>
    </w:div>
    <w:div w:id="904682697">
      <w:bodyDiv w:val="1"/>
      <w:marLeft w:val="0"/>
      <w:marRight w:val="0"/>
      <w:marTop w:val="0"/>
      <w:marBottom w:val="0"/>
      <w:divBdr>
        <w:top w:val="none" w:sz="0" w:space="0" w:color="auto"/>
        <w:left w:val="none" w:sz="0" w:space="0" w:color="auto"/>
        <w:bottom w:val="none" w:sz="0" w:space="0" w:color="auto"/>
        <w:right w:val="none" w:sz="0" w:space="0" w:color="auto"/>
      </w:divBdr>
    </w:div>
    <w:div w:id="1180706348">
      <w:bodyDiv w:val="1"/>
      <w:marLeft w:val="0"/>
      <w:marRight w:val="0"/>
      <w:marTop w:val="0"/>
      <w:marBottom w:val="0"/>
      <w:divBdr>
        <w:top w:val="none" w:sz="0" w:space="0" w:color="auto"/>
        <w:left w:val="none" w:sz="0" w:space="0" w:color="auto"/>
        <w:bottom w:val="none" w:sz="0" w:space="0" w:color="auto"/>
        <w:right w:val="none" w:sz="0" w:space="0" w:color="auto"/>
      </w:divBdr>
    </w:div>
    <w:div w:id="1278564351">
      <w:bodyDiv w:val="1"/>
      <w:marLeft w:val="0"/>
      <w:marRight w:val="0"/>
      <w:marTop w:val="0"/>
      <w:marBottom w:val="0"/>
      <w:divBdr>
        <w:top w:val="none" w:sz="0" w:space="0" w:color="auto"/>
        <w:left w:val="none" w:sz="0" w:space="0" w:color="auto"/>
        <w:bottom w:val="none" w:sz="0" w:space="0" w:color="auto"/>
        <w:right w:val="none" w:sz="0" w:space="0" w:color="auto"/>
      </w:divBdr>
    </w:div>
    <w:div w:id="1474640064">
      <w:bodyDiv w:val="1"/>
      <w:marLeft w:val="0"/>
      <w:marRight w:val="0"/>
      <w:marTop w:val="0"/>
      <w:marBottom w:val="0"/>
      <w:divBdr>
        <w:top w:val="none" w:sz="0" w:space="0" w:color="auto"/>
        <w:left w:val="none" w:sz="0" w:space="0" w:color="auto"/>
        <w:bottom w:val="none" w:sz="0" w:space="0" w:color="auto"/>
        <w:right w:val="none" w:sz="0" w:space="0" w:color="auto"/>
      </w:divBdr>
    </w:div>
    <w:div w:id="1501696996">
      <w:bodyDiv w:val="1"/>
      <w:marLeft w:val="0"/>
      <w:marRight w:val="0"/>
      <w:marTop w:val="0"/>
      <w:marBottom w:val="0"/>
      <w:divBdr>
        <w:top w:val="none" w:sz="0" w:space="0" w:color="auto"/>
        <w:left w:val="none" w:sz="0" w:space="0" w:color="auto"/>
        <w:bottom w:val="none" w:sz="0" w:space="0" w:color="auto"/>
        <w:right w:val="none" w:sz="0" w:space="0" w:color="auto"/>
      </w:divBdr>
    </w:div>
    <w:div w:id="1507863476">
      <w:bodyDiv w:val="1"/>
      <w:marLeft w:val="0"/>
      <w:marRight w:val="0"/>
      <w:marTop w:val="0"/>
      <w:marBottom w:val="0"/>
      <w:divBdr>
        <w:top w:val="none" w:sz="0" w:space="0" w:color="auto"/>
        <w:left w:val="none" w:sz="0" w:space="0" w:color="auto"/>
        <w:bottom w:val="none" w:sz="0" w:space="0" w:color="auto"/>
        <w:right w:val="none" w:sz="0" w:space="0" w:color="auto"/>
      </w:divBdr>
    </w:div>
    <w:div w:id="1517621217">
      <w:bodyDiv w:val="1"/>
      <w:marLeft w:val="0"/>
      <w:marRight w:val="0"/>
      <w:marTop w:val="0"/>
      <w:marBottom w:val="0"/>
      <w:divBdr>
        <w:top w:val="none" w:sz="0" w:space="0" w:color="auto"/>
        <w:left w:val="none" w:sz="0" w:space="0" w:color="auto"/>
        <w:bottom w:val="none" w:sz="0" w:space="0" w:color="auto"/>
        <w:right w:val="none" w:sz="0" w:space="0" w:color="auto"/>
      </w:divBdr>
    </w:div>
    <w:div w:id="1621451305">
      <w:bodyDiv w:val="1"/>
      <w:marLeft w:val="0"/>
      <w:marRight w:val="0"/>
      <w:marTop w:val="0"/>
      <w:marBottom w:val="0"/>
      <w:divBdr>
        <w:top w:val="none" w:sz="0" w:space="0" w:color="auto"/>
        <w:left w:val="none" w:sz="0" w:space="0" w:color="auto"/>
        <w:bottom w:val="none" w:sz="0" w:space="0" w:color="auto"/>
        <w:right w:val="none" w:sz="0" w:space="0" w:color="auto"/>
      </w:divBdr>
    </w:div>
    <w:div w:id="1744373029">
      <w:bodyDiv w:val="1"/>
      <w:marLeft w:val="0"/>
      <w:marRight w:val="0"/>
      <w:marTop w:val="0"/>
      <w:marBottom w:val="0"/>
      <w:divBdr>
        <w:top w:val="none" w:sz="0" w:space="0" w:color="auto"/>
        <w:left w:val="none" w:sz="0" w:space="0" w:color="auto"/>
        <w:bottom w:val="none" w:sz="0" w:space="0" w:color="auto"/>
        <w:right w:val="none" w:sz="0" w:space="0" w:color="auto"/>
      </w:divBdr>
    </w:div>
    <w:div w:id="1863782270">
      <w:bodyDiv w:val="1"/>
      <w:marLeft w:val="0"/>
      <w:marRight w:val="0"/>
      <w:marTop w:val="0"/>
      <w:marBottom w:val="0"/>
      <w:divBdr>
        <w:top w:val="none" w:sz="0" w:space="0" w:color="auto"/>
        <w:left w:val="none" w:sz="0" w:space="0" w:color="auto"/>
        <w:bottom w:val="none" w:sz="0" w:space="0" w:color="auto"/>
        <w:right w:val="none" w:sz="0" w:space="0" w:color="auto"/>
      </w:divBdr>
    </w:div>
    <w:div w:id="1871448849">
      <w:bodyDiv w:val="1"/>
      <w:marLeft w:val="0"/>
      <w:marRight w:val="0"/>
      <w:marTop w:val="0"/>
      <w:marBottom w:val="0"/>
      <w:divBdr>
        <w:top w:val="none" w:sz="0" w:space="0" w:color="auto"/>
        <w:left w:val="none" w:sz="0" w:space="0" w:color="auto"/>
        <w:bottom w:val="none" w:sz="0" w:space="0" w:color="auto"/>
        <w:right w:val="none" w:sz="0" w:space="0" w:color="auto"/>
      </w:divBdr>
    </w:div>
    <w:div w:id="1886989522">
      <w:bodyDiv w:val="1"/>
      <w:marLeft w:val="0"/>
      <w:marRight w:val="0"/>
      <w:marTop w:val="0"/>
      <w:marBottom w:val="0"/>
      <w:divBdr>
        <w:top w:val="none" w:sz="0" w:space="0" w:color="auto"/>
        <w:left w:val="none" w:sz="0" w:space="0" w:color="auto"/>
        <w:bottom w:val="none" w:sz="0" w:space="0" w:color="auto"/>
        <w:right w:val="none" w:sz="0" w:space="0" w:color="auto"/>
      </w:divBdr>
      <w:divsChild>
        <w:div w:id="667901077">
          <w:marLeft w:val="0"/>
          <w:marRight w:val="0"/>
          <w:marTop w:val="0"/>
          <w:marBottom w:val="0"/>
          <w:divBdr>
            <w:top w:val="none" w:sz="0" w:space="0" w:color="auto"/>
            <w:left w:val="none" w:sz="0" w:space="0" w:color="auto"/>
            <w:bottom w:val="none" w:sz="0" w:space="0" w:color="auto"/>
            <w:right w:val="none" w:sz="0" w:space="0" w:color="auto"/>
          </w:divBdr>
        </w:div>
      </w:divsChild>
    </w:div>
    <w:div w:id="1903520564">
      <w:bodyDiv w:val="1"/>
      <w:marLeft w:val="0"/>
      <w:marRight w:val="0"/>
      <w:marTop w:val="0"/>
      <w:marBottom w:val="0"/>
      <w:divBdr>
        <w:top w:val="none" w:sz="0" w:space="0" w:color="auto"/>
        <w:left w:val="none" w:sz="0" w:space="0" w:color="auto"/>
        <w:bottom w:val="none" w:sz="0" w:space="0" w:color="auto"/>
        <w:right w:val="none" w:sz="0" w:space="0" w:color="auto"/>
      </w:divBdr>
    </w:div>
    <w:div w:id="1907298939">
      <w:bodyDiv w:val="1"/>
      <w:marLeft w:val="0"/>
      <w:marRight w:val="0"/>
      <w:marTop w:val="0"/>
      <w:marBottom w:val="0"/>
      <w:divBdr>
        <w:top w:val="none" w:sz="0" w:space="0" w:color="auto"/>
        <w:left w:val="none" w:sz="0" w:space="0" w:color="auto"/>
        <w:bottom w:val="none" w:sz="0" w:space="0" w:color="auto"/>
        <w:right w:val="none" w:sz="0" w:space="0" w:color="auto"/>
      </w:divBdr>
    </w:div>
    <w:div w:id="1908295920">
      <w:bodyDiv w:val="1"/>
      <w:marLeft w:val="0"/>
      <w:marRight w:val="0"/>
      <w:marTop w:val="0"/>
      <w:marBottom w:val="0"/>
      <w:divBdr>
        <w:top w:val="none" w:sz="0" w:space="0" w:color="auto"/>
        <w:left w:val="none" w:sz="0" w:space="0" w:color="auto"/>
        <w:bottom w:val="none" w:sz="0" w:space="0" w:color="auto"/>
        <w:right w:val="none" w:sz="0" w:space="0" w:color="auto"/>
      </w:divBdr>
    </w:div>
    <w:div w:id="1997562306">
      <w:bodyDiv w:val="1"/>
      <w:marLeft w:val="0"/>
      <w:marRight w:val="0"/>
      <w:marTop w:val="0"/>
      <w:marBottom w:val="0"/>
      <w:divBdr>
        <w:top w:val="none" w:sz="0" w:space="0" w:color="auto"/>
        <w:left w:val="none" w:sz="0" w:space="0" w:color="auto"/>
        <w:bottom w:val="none" w:sz="0" w:space="0" w:color="auto"/>
        <w:right w:val="none" w:sz="0" w:space="0" w:color="auto"/>
      </w:divBdr>
    </w:div>
    <w:div w:id="2020234584">
      <w:bodyDiv w:val="1"/>
      <w:marLeft w:val="0"/>
      <w:marRight w:val="0"/>
      <w:marTop w:val="0"/>
      <w:marBottom w:val="0"/>
      <w:divBdr>
        <w:top w:val="none" w:sz="0" w:space="0" w:color="auto"/>
        <w:left w:val="none" w:sz="0" w:space="0" w:color="auto"/>
        <w:bottom w:val="none" w:sz="0" w:space="0" w:color="auto"/>
        <w:right w:val="none" w:sz="0" w:space="0" w:color="auto"/>
      </w:divBdr>
    </w:div>
    <w:div w:id="2027173228">
      <w:bodyDiv w:val="1"/>
      <w:marLeft w:val="0"/>
      <w:marRight w:val="0"/>
      <w:marTop w:val="0"/>
      <w:marBottom w:val="0"/>
      <w:divBdr>
        <w:top w:val="none" w:sz="0" w:space="0" w:color="auto"/>
        <w:left w:val="none" w:sz="0" w:space="0" w:color="auto"/>
        <w:bottom w:val="none" w:sz="0" w:space="0" w:color="auto"/>
        <w:right w:val="none" w:sz="0" w:space="0" w:color="auto"/>
      </w:divBdr>
    </w:div>
    <w:div w:id="20774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isong@afd.fr"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afd.fr/fr/ressources/boite-outils-appui-au-secteur-prive-entrepreneuriat-et-inclusion-financiere" TargetMode="External"/><Relationship Id="rId4" Type="http://schemas.openxmlformats.org/officeDocument/2006/relationships/webSettings" Target="webSettings.xml"/><Relationship Id="rId9" Type="http://schemas.openxmlformats.org/officeDocument/2006/relationships/hyperlink" Target="https://www.afd.fr/fr/les-financements-des-projets-des-o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23547885_Remittances_and_Financial_Inclusion_in_Development" TargetMode="External"/><Relationship Id="rId3" Type="http://schemas.openxmlformats.org/officeDocument/2006/relationships/hyperlink" Target="https://www.gpfi.org/sites/gpfi/files/documents/gpfi_2017_policy_paper_inclusion_forcibly_displaced.pdf" TargetMode="External"/><Relationship Id="rId7" Type="http://schemas.openxmlformats.org/officeDocument/2006/relationships/hyperlink" Target="https://www.knomad.org/sites/default/files/2017-09/616360PUB0FREN00Box371922B00PUBLIC0.pdf" TargetMode="External"/><Relationship Id="rId2" Type="http://schemas.openxmlformats.org/officeDocument/2006/relationships/hyperlink" Target="https://reporting.unhcr.org/node/20859" TargetMode="External"/><Relationship Id="rId1" Type="http://schemas.openxmlformats.org/officeDocument/2006/relationships/hyperlink" Target="https://www.unhcr.org/5c658aed4.pdf" TargetMode="External"/><Relationship Id="rId6" Type="http://schemas.openxmlformats.org/officeDocument/2006/relationships/hyperlink" Target="https://news.un.org/fr/story/2019/09/1051802" TargetMode="External"/><Relationship Id="rId5" Type="http://schemas.openxmlformats.org/officeDocument/2006/relationships/hyperlink" Target="https://www.findevgateway.org/guide/2019/11/gateway-guide-financial-inclusion-refugees-and-humanitarian-crises" TargetMode="External"/><Relationship Id="rId10" Type="http://schemas.openxmlformats.org/officeDocument/2006/relationships/hyperlink" Target="https://www.afd.fr/sites/afd/files/2018-09-04-02-18/plan-orientation-strategique-afd-2018-2022.pdf" TargetMode="External"/><Relationship Id="rId4" Type="http://schemas.openxmlformats.org/officeDocument/2006/relationships/hyperlink" Target="https://www.cgap.org/topics/collections/forcibly-displaced-persons-financial-services" TargetMode="External"/><Relationship Id="rId9" Type="http://schemas.openxmlformats.org/officeDocument/2006/relationships/hyperlink" Target="https://www.cgap.org/blog/can-emergency-cash-transfers-lead-financial-incl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8036</Words>
  <Characters>47092</Characters>
  <Application>Microsoft Office Word</Application>
  <DocSecurity>0</DocSecurity>
  <Lines>840</Lines>
  <Paragraphs>342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2020-11-06T11:59:00Z</dcterms:created>
  <dcterms:modified xsi:type="dcterms:W3CDTF">2020-11-06T11:59:00Z</dcterms:modified>
</cp:coreProperties>
</file>